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2F88979A" w:rsidR="000777F8" w:rsidRPr="009A6F39"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783D0E">
        <w:rPr>
          <w:rFonts w:ascii="Arial" w:hAnsi="Arial" w:cs="Arial"/>
          <w:sz w:val="20"/>
          <w:szCs w:val="20"/>
        </w:rPr>
        <w:t>1</w:t>
      </w:r>
      <w:r w:rsidR="004D6AAF">
        <w:rPr>
          <w:rFonts w:ascii="Arial" w:hAnsi="Arial" w:cs="Arial"/>
          <w:sz w:val="20"/>
          <w:szCs w:val="20"/>
        </w:rPr>
        <w:t>5</w:t>
      </w:r>
      <w:r>
        <w:rPr>
          <w:rFonts w:ascii="Arial" w:hAnsi="Arial" w:cs="Arial"/>
          <w:sz w:val="20"/>
          <w:szCs w:val="20"/>
        </w:rPr>
        <w:t xml:space="preserve">. </w:t>
      </w:r>
      <w:r w:rsidR="00892F6D">
        <w:rPr>
          <w:rFonts w:ascii="Arial" w:hAnsi="Arial" w:cs="Arial"/>
          <w:sz w:val="20"/>
          <w:szCs w:val="20"/>
        </w:rPr>
        <w:t>1</w:t>
      </w:r>
      <w:r w:rsidR="004D6AAF">
        <w:rPr>
          <w:rFonts w:ascii="Arial" w:hAnsi="Arial" w:cs="Arial"/>
          <w:sz w:val="20"/>
          <w:szCs w:val="20"/>
        </w:rPr>
        <w:t>2</w:t>
      </w:r>
      <w:r>
        <w:rPr>
          <w:rFonts w:ascii="Arial" w:hAnsi="Arial" w:cs="Arial"/>
          <w:sz w:val="20"/>
          <w:szCs w:val="20"/>
        </w:rPr>
        <w:t>. 2020)</w:t>
      </w: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874FFD" w:rsidRPr="00565B06" w14:paraId="32B997DA" w14:textId="77777777" w:rsidTr="001B7C16">
        <w:trPr>
          <w:trHeight w:val="590"/>
        </w:trPr>
        <w:tc>
          <w:tcPr>
            <w:tcW w:w="1917" w:type="dxa"/>
            <w:shd w:val="clear" w:color="auto" w:fill="auto"/>
          </w:tcPr>
          <w:p w14:paraId="6D060701" w14:textId="77777777" w:rsidR="00874FFD" w:rsidRPr="005E4FBD" w:rsidRDefault="00874FFD" w:rsidP="00874FFD">
            <w:pPr>
              <w:spacing w:before="120" w:after="120"/>
              <w:rPr>
                <w:rFonts w:ascii="Arial" w:hAnsi="Arial" w:cs="Arial"/>
                <w:b/>
                <w:sz w:val="20"/>
                <w:szCs w:val="20"/>
              </w:rPr>
            </w:pPr>
            <w:r w:rsidRPr="005E4FBD">
              <w:rPr>
                <w:rFonts w:ascii="Arial" w:hAnsi="Arial" w:cs="Arial"/>
                <w:b/>
                <w:sz w:val="20"/>
                <w:szCs w:val="20"/>
              </w:rPr>
              <w:t>Záruční program COVID III pro firmy zasažené koronavirem</w:t>
            </w:r>
          </w:p>
          <w:p w14:paraId="1B47A282" w14:textId="77777777" w:rsidR="00874FFD" w:rsidRPr="005E4FBD" w:rsidRDefault="00874FFD" w:rsidP="00874FFD">
            <w:pPr>
              <w:spacing w:before="120" w:after="120"/>
              <w:rPr>
                <w:rFonts w:ascii="Arial" w:hAnsi="Arial" w:cs="Arial"/>
                <w:b/>
                <w:sz w:val="20"/>
                <w:szCs w:val="20"/>
              </w:rPr>
            </w:pPr>
            <w:r w:rsidRPr="005E4FBD">
              <w:rPr>
                <w:rFonts w:ascii="Arial" w:hAnsi="Arial" w:cs="Arial"/>
                <w:b/>
                <w:sz w:val="20"/>
                <w:szCs w:val="20"/>
              </w:rPr>
              <w:t>(ČMZRB)</w:t>
            </w:r>
          </w:p>
          <w:p w14:paraId="6A3D1FEC" w14:textId="45B3DB7E" w:rsidR="00874FFD" w:rsidRPr="005E4FBD" w:rsidRDefault="00874FFD" w:rsidP="00874FFD">
            <w:pPr>
              <w:spacing w:before="120" w:after="120"/>
              <w:rPr>
                <w:rFonts w:ascii="Arial" w:hAnsi="Arial" w:cs="Arial"/>
                <w:color w:val="FF0000"/>
                <w:sz w:val="20"/>
                <w:szCs w:val="20"/>
              </w:rPr>
            </w:pPr>
          </w:p>
        </w:tc>
        <w:tc>
          <w:tcPr>
            <w:tcW w:w="9560" w:type="dxa"/>
            <w:shd w:val="clear" w:color="auto" w:fill="auto"/>
          </w:tcPr>
          <w:p w14:paraId="4D71D675" w14:textId="01AD140A"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Cílem programu je podpořit prostřednictvím ručení za provozní bankovní úvěry podnikatelů do 500 zaměstnanců</w:t>
            </w:r>
            <w:r w:rsidR="009A6F39" w:rsidRPr="005E4FBD">
              <w:rPr>
                <w:rFonts w:ascii="Arial" w:hAnsi="Arial" w:cs="Arial"/>
                <w:sz w:val="20"/>
                <w:szCs w:val="20"/>
              </w:rPr>
              <w:t>,</w:t>
            </w:r>
            <w:r w:rsidRPr="005E4FBD">
              <w:rPr>
                <w:rFonts w:ascii="Arial" w:hAnsi="Arial" w:cs="Arial"/>
                <w:sz w:val="20"/>
                <w:szCs w:val="20"/>
              </w:rPr>
              <w:t xml:space="preserve"> jejichž ekonomické aktivity jsou omezeny v důsledku výskytu koronavirové infekce a souvisejících preventivních opatření.</w:t>
            </w:r>
          </w:p>
          <w:p w14:paraId="233D2451" w14:textId="77777777" w:rsidR="00874FFD" w:rsidRPr="005E4FBD" w:rsidRDefault="00874FFD" w:rsidP="00874FFD">
            <w:pPr>
              <w:spacing w:before="120" w:after="120"/>
              <w:ind w:left="-45"/>
              <w:rPr>
                <w:rFonts w:ascii="Arial" w:hAnsi="Arial" w:cs="Arial"/>
                <w:sz w:val="20"/>
                <w:szCs w:val="20"/>
              </w:rPr>
            </w:pPr>
            <w:r w:rsidRPr="005E4FBD">
              <w:rPr>
                <w:rFonts w:ascii="Arial" w:hAnsi="Arial" w:cs="Arial"/>
                <w:sz w:val="20"/>
                <w:szCs w:val="20"/>
              </w:rPr>
              <w:t>Poskytnutí záruk:</w:t>
            </w:r>
          </w:p>
          <w:p w14:paraId="7BA6FAC8"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4FEFD62C"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3EF83837"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539174D7"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doba ručení max. 3 roky.</w:t>
            </w:r>
          </w:p>
          <w:p w14:paraId="0E3C344D" w14:textId="77777777"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6E1B940C" w14:textId="36AF196F"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4536" w:type="dxa"/>
            <w:shd w:val="clear" w:color="auto" w:fill="auto"/>
          </w:tcPr>
          <w:p w14:paraId="2D6674DE" w14:textId="060EAE7D" w:rsidR="00874FFD" w:rsidRPr="005E4FBD" w:rsidRDefault="001F6AC3" w:rsidP="00874FFD">
            <w:pPr>
              <w:spacing w:before="120" w:after="120"/>
              <w:ind w:left="-45"/>
              <w:rPr>
                <w:rFonts w:ascii="Arial" w:hAnsi="Arial" w:cs="Arial"/>
                <w:sz w:val="20"/>
                <w:szCs w:val="20"/>
              </w:rPr>
            </w:pPr>
            <w:r w:rsidRPr="005E4FBD">
              <w:rPr>
                <w:rFonts w:ascii="Arial" w:hAnsi="Arial" w:cs="Arial"/>
                <w:sz w:val="20"/>
                <w:szCs w:val="20"/>
              </w:rPr>
              <w:t>Českomoravská záruční a rozvojová banka (</w:t>
            </w:r>
            <w:r w:rsidR="00874FFD" w:rsidRPr="005E4FBD">
              <w:rPr>
                <w:rFonts w:ascii="Arial" w:hAnsi="Arial" w:cs="Arial"/>
                <w:sz w:val="20"/>
                <w:szCs w:val="20"/>
              </w:rPr>
              <w:t>ČMZRB</w:t>
            </w:r>
            <w:r w:rsidRPr="005E4FBD">
              <w:rPr>
                <w:rFonts w:ascii="Arial" w:hAnsi="Arial" w:cs="Arial"/>
                <w:sz w:val="20"/>
                <w:szCs w:val="20"/>
              </w:rPr>
              <w:t>)</w:t>
            </w:r>
            <w:r w:rsidR="00874FFD" w:rsidRPr="005E4FBD">
              <w:rPr>
                <w:rFonts w:ascii="Arial" w:hAnsi="Arial" w:cs="Arial"/>
                <w:sz w:val="20"/>
                <w:szCs w:val="20"/>
              </w:rPr>
              <w:t>:</w:t>
            </w:r>
          </w:p>
          <w:p w14:paraId="5E1A519B" w14:textId="4E9E354D" w:rsidR="00874FFD" w:rsidRPr="005E4FBD" w:rsidRDefault="00453183" w:rsidP="00874FFD">
            <w:pPr>
              <w:spacing w:before="120" w:after="120"/>
              <w:ind w:left="-45"/>
              <w:rPr>
                <w:rFonts w:ascii="Arial" w:hAnsi="Arial" w:cs="Arial"/>
                <w:sz w:val="20"/>
                <w:szCs w:val="20"/>
              </w:rPr>
            </w:pPr>
            <w:hyperlink r:id="rId8" w:history="1">
              <w:r w:rsidR="00874FFD" w:rsidRPr="005E4FBD">
                <w:rPr>
                  <w:rStyle w:val="Hypertextovodkaz"/>
                  <w:rFonts w:ascii="Arial" w:hAnsi="Arial" w:cs="Arial"/>
                  <w:sz w:val="20"/>
                  <w:szCs w:val="20"/>
                </w:rPr>
                <w:t>https://www.cmzrb.cz/podnikatele/zaruky/zaruka-covid-iii/</w:t>
              </w:r>
            </w:hyperlink>
            <w:r w:rsidR="00874FFD" w:rsidRPr="005E4FBD">
              <w:rPr>
                <w:rStyle w:val="Hypertextovodkaz"/>
                <w:rFonts w:ascii="Arial" w:hAnsi="Arial" w:cs="Arial"/>
                <w:sz w:val="20"/>
                <w:szCs w:val="20"/>
              </w:rPr>
              <w:t xml:space="preserve"> </w:t>
            </w:r>
          </w:p>
        </w:tc>
      </w:tr>
      <w:tr w:rsidR="001F6AC3" w:rsidRPr="00565B06" w14:paraId="7CC0481F" w14:textId="77777777" w:rsidTr="00FA6BE1">
        <w:trPr>
          <w:trHeight w:val="70"/>
        </w:trPr>
        <w:tc>
          <w:tcPr>
            <w:tcW w:w="1917" w:type="dxa"/>
            <w:shd w:val="clear" w:color="auto" w:fill="auto"/>
          </w:tcPr>
          <w:p w14:paraId="75DD3B64" w14:textId="77777777" w:rsidR="001F6AC3" w:rsidRPr="005E4FBD" w:rsidRDefault="001F6AC3" w:rsidP="001F6AC3">
            <w:pPr>
              <w:spacing w:before="120" w:after="120"/>
              <w:rPr>
                <w:rFonts w:ascii="Arial" w:hAnsi="Arial" w:cs="Arial"/>
                <w:b/>
                <w:sz w:val="20"/>
                <w:szCs w:val="20"/>
              </w:rPr>
            </w:pPr>
            <w:r w:rsidRPr="005E4FBD">
              <w:rPr>
                <w:rFonts w:ascii="Arial" w:hAnsi="Arial" w:cs="Arial"/>
                <w:b/>
                <w:sz w:val="20"/>
                <w:szCs w:val="20"/>
              </w:rPr>
              <w:t>Dotační program COVID-Nájemné II</w:t>
            </w:r>
          </w:p>
          <w:p w14:paraId="3A02D5D0" w14:textId="2FFF4EDB" w:rsidR="001F6AC3" w:rsidRPr="005E4FBD" w:rsidRDefault="001F6AC3" w:rsidP="001F6AC3">
            <w:pPr>
              <w:spacing w:before="120" w:after="120"/>
              <w:rPr>
                <w:rFonts w:ascii="Arial" w:hAnsi="Arial" w:cs="Arial"/>
                <w:b/>
                <w:color w:val="000000" w:themeColor="text1"/>
                <w:sz w:val="20"/>
                <w:szCs w:val="20"/>
              </w:rPr>
            </w:pPr>
          </w:p>
        </w:tc>
        <w:tc>
          <w:tcPr>
            <w:tcW w:w="9560" w:type="dxa"/>
            <w:shd w:val="clear" w:color="auto" w:fill="auto"/>
          </w:tcPr>
          <w:p w14:paraId="799A1180"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269E4766" w14:textId="77777777" w:rsidR="001F6AC3" w:rsidRPr="005E4FBD" w:rsidRDefault="001F6AC3" w:rsidP="001F6AC3">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2125DD1D" w14:textId="77777777"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4A058D5"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567CBF2A" w14:textId="31F4893B"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od 21. října 2020, 9:00 hodin do 21. ledna 2021, 23:59 hod. on-line, prostřednictvím informačního systému přístupného z Portálu AIS MPO</w:t>
            </w:r>
            <w:r w:rsidRPr="005E4FBD">
              <w:rPr>
                <w:rFonts w:ascii="Arial" w:hAnsi="Arial" w:cs="Arial"/>
                <w:sz w:val="20"/>
                <w:szCs w:val="20"/>
                <w:lang w:eastAsia="cs-CZ"/>
              </w:rPr>
              <w:t>.</w:t>
            </w:r>
          </w:p>
          <w:p w14:paraId="0ABE9BA8" w14:textId="77777777"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19D150E6" w14:textId="269983FA" w:rsidR="001F6AC3" w:rsidRPr="005E4FBD" w:rsidRDefault="00595FBB" w:rsidP="00FA6BE1">
            <w:pPr>
              <w:rPr>
                <w:rFonts w:ascii="Arial" w:hAnsi="Arial" w:cs="Arial"/>
                <w:color w:val="000000" w:themeColor="text1"/>
                <w:sz w:val="20"/>
                <w:szCs w:val="20"/>
                <w:lang w:eastAsia="cs-CZ"/>
              </w:rPr>
            </w:pPr>
            <w:r>
              <w:rPr>
                <w:rFonts w:ascii="Arial" w:eastAsiaTheme="minorHAnsi" w:hAnsi="Arial" w:cs="Arial"/>
                <w:color w:val="000000" w:themeColor="text1"/>
                <w:sz w:val="20"/>
                <w:szCs w:val="20"/>
                <w:lang w:eastAsia="cs-CZ"/>
              </w:rPr>
              <w:t xml:space="preserve">Výzva je </w:t>
            </w:r>
            <w:r>
              <w:rPr>
                <w:rFonts w:eastAsiaTheme="minorHAnsi"/>
                <w:bCs/>
                <w:color w:val="000000" w:themeColor="text1"/>
                <w:lang w:eastAsia="cs-CZ"/>
              </w:rPr>
              <w:t>sektorově zaměřena na</w:t>
            </w:r>
            <w:r>
              <w:rPr>
                <w:rFonts w:eastAsiaTheme="minorHAnsi"/>
                <w:b/>
                <w:bCs/>
                <w:color w:val="000000" w:themeColor="text1"/>
                <w:lang w:eastAsia="cs-CZ"/>
              </w:rPr>
              <w:t xml:space="preserve"> </w:t>
            </w:r>
            <w:r>
              <w:rPr>
                <w:rFonts w:ascii="Arial" w:eastAsiaTheme="minorHAnsi" w:hAnsi="Arial" w:cs="Arial"/>
                <w:color w:val="000000" w:themeColor="text1"/>
                <w:sz w:val="20"/>
                <w:szCs w:val="20"/>
                <w:lang w:eastAsia="cs-CZ"/>
              </w:rPr>
              <w:t>ty provozy, které byly zakázány nebo výrazně omezeny Usnesením vlády č 1103 ze dne 26. 10. 2020, přičemž do okruh oprávněných žadatelů se nazařazují subjekty omezené dle článku I. bodu 8. a dle článku II. bodu 5. a bodu 6. usnesení vlády ze dne 26. října č. 1103.</w:t>
            </w:r>
            <w:r w:rsidR="001F6AC3" w:rsidRPr="005E4FBD">
              <w:rPr>
                <w:rFonts w:ascii="Arial" w:hAnsi="Arial" w:cs="Arial"/>
                <w:sz w:val="20"/>
                <w:szCs w:val="20"/>
              </w:rPr>
              <w:t xml:space="preserve"> </w:t>
            </w:r>
          </w:p>
        </w:tc>
        <w:tc>
          <w:tcPr>
            <w:tcW w:w="4536" w:type="dxa"/>
            <w:shd w:val="clear" w:color="auto" w:fill="auto"/>
          </w:tcPr>
          <w:p w14:paraId="452A96B2" w14:textId="77777777" w:rsidR="001F6AC3" w:rsidRPr="005E4FBD" w:rsidRDefault="001F6AC3" w:rsidP="001F6AC3">
            <w:pPr>
              <w:spacing w:before="120" w:after="120"/>
              <w:ind w:left="-45"/>
              <w:rPr>
                <w:rFonts w:ascii="Arial" w:hAnsi="Arial" w:cs="Arial"/>
                <w:sz w:val="20"/>
                <w:szCs w:val="20"/>
              </w:rPr>
            </w:pPr>
            <w:r w:rsidRPr="005E4FBD">
              <w:rPr>
                <w:rFonts w:ascii="Arial" w:hAnsi="Arial" w:cs="Arial"/>
                <w:sz w:val="20"/>
                <w:szCs w:val="20"/>
              </w:rPr>
              <w:t>Ministerstvo průmyslu a obchodu</w:t>
            </w:r>
          </w:p>
          <w:p w14:paraId="2926855A" w14:textId="464FBB65" w:rsidR="001F6AC3" w:rsidRDefault="00453183" w:rsidP="001F6AC3">
            <w:pPr>
              <w:spacing w:before="120" w:after="120"/>
              <w:ind w:left="-45"/>
              <w:rPr>
                <w:rFonts w:ascii="Arial" w:hAnsi="Arial" w:cs="Arial"/>
                <w:sz w:val="20"/>
                <w:szCs w:val="20"/>
              </w:rPr>
            </w:pPr>
            <w:hyperlink r:id="rId9" w:history="1">
              <w:r w:rsidR="007A3159" w:rsidRPr="00ED43B1">
                <w:rPr>
                  <w:rStyle w:val="Hypertextovodkaz"/>
                  <w:rFonts w:ascii="Arial" w:hAnsi="Arial" w:cs="Arial"/>
                  <w:sz w:val="20"/>
                  <w:szCs w:val="20"/>
                </w:rPr>
                <w:t>https://www.mpo.cz/cz/podnikani/zivnostenske-podnikani/covid-19-najemne--255305/</w:t>
              </w:r>
            </w:hyperlink>
          </w:p>
          <w:p w14:paraId="0E195436" w14:textId="1CF61F96" w:rsidR="007A3159" w:rsidRPr="005E4FBD" w:rsidRDefault="007A3159" w:rsidP="001F6AC3">
            <w:pPr>
              <w:spacing w:before="120" w:after="120"/>
              <w:ind w:left="-45"/>
              <w:rPr>
                <w:rFonts w:ascii="Arial" w:hAnsi="Arial" w:cs="Arial"/>
                <w:color w:val="FF0000"/>
                <w:sz w:val="20"/>
                <w:szCs w:val="20"/>
              </w:rPr>
            </w:pPr>
          </w:p>
        </w:tc>
      </w:tr>
      <w:tr w:rsidR="00A33DB6" w:rsidRPr="00565B06" w14:paraId="37DD58EB" w14:textId="77777777" w:rsidTr="001B7C16">
        <w:trPr>
          <w:trHeight w:val="590"/>
        </w:trPr>
        <w:tc>
          <w:tcPr>
            <w:tcW w:w="1917" w:type="dxa"/>
            <w:shd w:val="clear" w:color="auto" w:fill="auto"/>
          </w:tcPr>
          <w:p w14:paraId="36163472" w14:textId="77777777" w:rsidR="00A33DB6" w:rsidRPr="005E4FBD" w:rsidRDefault="00A33DB6" w:rsidP="00A33DB6">
            <w:pPr>
              <w:spacing w:before="120" w:after="120"/>
              <w:rPr>
                <w:rFonts w:ascii="Arial" w:hAnsi="Arial" w:cs="Arial"/>
                <w:b/>
                <w:sz w:val="20"/>
                <w:szCs w:val="20"/>
              </w:rPr>
            </w:pPr>
            <w:r w:rsidRPr="005E4FBD">
              <w:rPr>
                <w:rFonts w:ascii="Arial" w:hAnsi="Arial" w:cs="Arial"/>
                <w:b/>
                <w:sz w:val="20"/>
                <w:szCs w:val="20"/>
              </w:rPr>
              <w:lastRenderedPageBreak/>
              <w:t>COVID-Kultura II</w:t>
            </w:r>
          </w:p>
          <w:p w14:paraId="35E4D7BF" w14:textId="470273A0" w:rsidR="00A33DB6" w:rsidRPr="005E4FBD" w:rsidRDefault="00A33DB6" w:rsidP="00A33DB6">
            <w:pPr>
              <w:spacing w:before="120" w:after="120"/>
              <w:rPr>
                <w:rFonts w:ascii="Arial" w:hAnsi="Arial" w:cs="Arial"/>
                <w:b/>
                <w:color w:val="FF0000"/>
                <w:sz w:val="20"/>
                <w:szCs w:val="20"/>
              </w:rPr>
            </w:pPr>
          </w:p>
        </w:tc>
        <w:tc>
          <w:tcPr>
            <w:tcW w:w="9560" w:type="dxa"/>
            <w:shd w:val="clear" w:color="auto" w:fill="auto"/>
          </w:tcPr>
          <w:p w14:paraId="3A9BDCC6" w14:textId="77777777" w:rsidR="00DA104A" w:rsidRPr="00C94727" w:rsidRDefault="00DA104A" w:rsidP="00DA104A">
            <w:pPr>
              <w:pStyle w:val="Odstavecseseznamem"/>
              <w:numPr>
                <w:ilvl w:val="0"/>
                <w:numId w:val="19"/>
              </w:numPr>
              <w:rPr>
                <w:rFonts w:ascii="Arial" w:hAnsi="Arial" w:cs="Arial"/>
                <w:sz w:val="20"/>
                <w:szCs w:val="20"/>
                <w:lang w:eastAsia="cs-CZ"/>
              </w:rPr>
            </w:pPr>
            <w:r w:rsidRPr="00C94727">
              <w:rPr>
                <w:rFonts w:ascii="Arial" w:hAnsi="Arial" w:cs="Arial"/>
                <w:sz w:val="20"/>
                <w:szCs w:val="20"/>
                <w:lang w:eastAsia="cs-CZ"/>
              </w:rPr>
              <w:t>2. výzva byla zveřejněna 15. 10. 2020 a dále prodloužena. A to na základě velkého zájmu. Pokračování speciálního dotačního programu COVID – Kultura, tedy 2. výzvu, připravilo Ministerstvo průmyslu a obchodu (MPO) ve spolupráci s Ministerstvem kultury (MK) v reakci na celosvětovou pandemii koronaviru. Má pomoci podnikatelským subjektům z oblasti kultury, které byly omezeny v podnikatelské činnosti v souvislosti s negativními dopady mimořádných opatření.</w:t>
            </w:r>
          </w:p>
          <w:p w14:paraId="6F507B32" w14:textId="50163DC8"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5E4FBD">
              <w:rPr>
                <w:rFonts w:ascii="Arial" w:hAnsi="Arial" w:cs="Arial"/>
                <w:b/>
                <w:bCs/>
                <w:sz w:val="20"/>
                <w:szCs w:val="20"/>
                <w:lang w:eastAsia="cs-CZ"/>
              </w:rPr>
              <w:t>od 10. března 2020 do 31. prosince 2020</w:t>
            </w:r>
            <w:r w:rsidRPr="005E4FBD">
              <w:rPr>
                <w:rFonts w:ascii="Arial" w:hAnsi="Arial" w:cs="Arial"/>
                <w:sz w:val="20"/>
                <w:szCs w:val="20"/>
                <w:lang w:eastAsia="cs-CZ"/>
              </w:rPr>
              <w:t xml:space="preserve"> a byly v přímé souvislosti s mimořádnými opatřeními vlády limitovány, přesunuty nebo zrušeny</w:t>
            </w:r>
          </w:p>
          <w:p w14:paraId="4B89D4C3"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1A079DFF"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je poskytována příjemci podpory ve formě </w:t>
            </w:r>
            <w:r w:rsidRPr="005E4FBD">
              <w:rPr>
                <w:rFonts w:ascii="Arial" w:hAnsi="Arial" w:cs="Arial"/>
                <w:b/>
                <w:bCs/>
                <w:sz w:val="20"/>
                <w:szCs w:val="20"/>
                <w:lang w:eastAsia="cs-CZ"/>
              </w:rPr>
              <w:t>dotace ex post na marně vynaložené výdaje</w:t>
            </w:r>
            <w:r w:rsidRPr="005E4FBD">
              <w:rPr>
                <w:rFonts w:ascii="Arial" w:hAnsi="Arial" w:cs="Arial"/>
                <w:sz w:val="20"/>
                <w:szCs w:val="20"/>
                <w:lang w:eastAsia="cs-CZ"/>
              </w:rPr>
              <w:t xml:space="preserve"> za jednotlivé kulturní akce či projekty, které vznikly </w:t>
            </w:r>
            <w:r w:rsidRPr="005E4FBD">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5100D95D"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31FBB0A9" w14:textId="77777777" w:rsidR="00A33DB6"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p w14:paraId="27357F53" w14:textId="1FB51957" w:rsidR="00DA104A" w:rsidRPr="005E4FBD" w:rsidRDefault="00DA104A" w:rsidP="00A33DB6">
            <w:pPr>
              <w:pStyle w:val="Odstavecseseznamem"/>
              <w:numPr>
                <w:ilvl w:val="0"/>
                <w:numId w:val="19"/>
              </w:numPr>
              <w:rPr>
                <w:rFonts w:ascii="Arial" w:hAnsi="Arial" w:cs="Arial"/>
                <w:sz w:val="20"/>
                <w:szCs w:val="20"/>
                <w:lang w:eastAsia="cs-CZ"/>
              </w:rPr>
            </w:pPr>
            <w:r w:rsidRPr="00C94727">
              <w:rPr>
                <w:rFonts w:ascii="Arial" w:hAnsi="Arial" w:cs="Arial"/>
                <w:sz w:val="20"/>
                <w:szCs w:val="20"/>
              </w:rPr>
              <w:t>O jednorázovou podporu pro OSVČ definovanou programem mohou požádat také umělci nebo umělecko-technické profese, kteří na území ČR mají pouze přechodný pobyt a jde o podnikatele EU. U těchto podnikatelů dojde k začlenění do programu. Zde budeme vycházet z povinnosti státu zacházet s občany Evropské unie, kteří na území daného státu legálně pobývají, a to včetně poskytování sociální pomoci vyplývající ze směrnice 2004/38/ES o právech občanu EU.</w:t>
            </w:r>
          </w:p>
        </w:tc>
        <w:tc>
          <w:tcPr>
            <w:tcW w:w="4536" w:type="dxa"/>
            <w:shd w:val="clear" w:color="auto" w:fill="auto"/>
          </w:tcPr>
          <w:p w14:paraId="0D75B089" w14:textId="77777777" w:rsidR="001F6AC3" w:rsidRPr="005E4FBD" w:rsidRDefault="001F6AC3" w:rsidP="001F6AC3">
            <w:pPr>
              <w:spacing w:before="120" w:after="120"/>
              <w:rPr>
                <w:rFonts w:ascii="Arial" w:hAnsi="Arial" w:cs="Arial"/>
                <w:sz w:val="20"/>
                <w:szCs w:val="20"/>
              </w:rPr>
            </w:pPr>
            <w:r w:rsidRPr="005E4FBD">
              <w:rPr>
                <w:rFonts w:ascii="Arial" w:hAnsi="Arial" w:cs="Arial"/>
                <w:sz w:val="20"/>
                <w:szCs w:val="20"/>
              </w:rPr>
              <w:t>Ministerstvo průmyslu a obchodu</w:t>
            </w:r>
          </w:p>
          <w:p w14:paraId="4A624AD3" w14:textId="6ACF3E5D" w:rsidR="00A33DB6" w:rsidRPr="005E4FBD" w:rsidRDefault="00453183" w:rsidP="001F6AC3">
            <w:pPr>
              <w:spacing w:before="120" w:after="120"/>
              <w:ind w:left="-45"/>
              <w:rPr>
                <w:rFonts w:ascii="Arial" w:hAnsi="Arial" w:cs="Arial"/>
                <w:color w:val="FF0000"/>
                <w:sz w:val="20"/>
                <w:szCs w:val="20"/>
              </w:rPr>
            </w:pPr>
            <w:hyperlink r:id="rId10" w:history="1">
              <w:r w:rsidR="003A77A0" w:rsidRPr="00C2728F">
                <w:rPr>
                  <w:rStyle w:val="Hypertextovodkaz"/>
                  <w:rFonts w:ascii="Arial" w:hAnsi="Arial" w:cs="Arial"/>
                  <w:sz w:val="20"/>
                  <w:szCs w:val="20"/>
                </w:rPr>
                <w:t>https://www.mpo.cz/kultura</w:t>
              </w:r>
            </w:hyperlink>
            <w:r w:rsidR="003A77A0">
              <w:rPr>
                <w:rFonts w:ascii="Arial" w:hAnsi="Arial" w:cs="Arial"/>
                <w:color w:val="FF0000"/>
                <w:sz w:val="20"/>
                <w:szCs w:val="20"/>
              </w:rPr>
              <w:t xml:space="preserve">  </w:t>
            </w:r>
          </w:p>
        </w:tc>
      </w:tr>
      <w:tr w:rsidR="000671EF" w:rsidRPr="00565B06" w14:paraId="6C44A27D" w14:textId="77777777" w:rsidTr="001B7C16">
        <w:trPr>
          <w:trHeight w:val="590"/>
        </w:trPr>
        <w:tc>
          <w:tcPr>
            <w:tcW w:w="1917" w:type="dxa"/>
            <w:shd w:val="clear" w:color="auto" w:fill="auto"/>
          </w:tcPr>
          <w:p w14:paraId="697EB07D" w14:textId="6A68C7BD"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Kompenzační bonus pro OSVČ</w:t>
            </w:r>
            <w:r w:rsidR="002B034C">
              <w:rPr>
                <w:rFonts w:ascii="Arial" w:hAnsi="Arial" w:cs="Arial"/>
                <w:b/>
                <w:sz w:val="20"/>
                <w:szCs w:val="20"/>
              </w:rPr>
              <w:t xml:space="preserve">, </w:t>
            </w:r>
            <w:r w:rsidRPr="005E4FBD">
              <w:rPr>
                <w:rFonts w:ascii="Arial" w:hAnsi="Arial" w:cs="Arial"/>
                <w:b/>
                <w:sz w:val="20"/>
                <w:szCs w:val="20"/>
              </w:rPr>
              <w:t>společníky malých s.r.o.</w:t>
            </w:r>
            <w:r w:rsidR="002B034C">
              <w:rPr>
                <w:rFonts w:ascii="Arial" w:hAnsi="Arial" w:cs="Arial"/>
                <w:b/>
                <w:sz w:val="20"/>
                <w:szCs w:val="20"/>
              </w:rPr>
              <w:t xml:space="preserve"> a DPČ, DPP</w:t>
            </w:r>
          </w:p>
          <w:p w14:paraId="56372FAB" w14:textId="2A803637" w:rsidR="009308A4" w:rsidRPr="005E4FBD" w:rsidRDefault="009308A4" w:rsidP="000671EF">
            <w:pPr>
              <w:spacing w:before="120" w:after="120"/>
              <w:rPr>
                <w:rFonts w:ascii="Arial" w:hAnsi="Arial" w:cs="Arial"/>
                <w:b/>
                <w:sz w:val="20"/>
                <w:szCs w:val="20"/>
              </w:rPr>
            </w:pPr>
          </w:p>
        </w:tc>
        <w:tc>
          <w:tcPr>
            <w:tcW w:w="9560" w:type="dxa"/>
            <w:shd w:val="clear" w:color="auto" w:fill="auto"/>
          </w:tcPr>
          <w:p w14:paraId="5EDF2E05" w14:textId="77777777" w:rsidR="0055289F" w:rsidRDefault="0065337A" w:rsidP="0065337A">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sidRPr="0065337A">
              <w:rPr>
                <w:rFonts w:ascii="Arial" w:hAnsi="Arial" w:cs="Arial"/>
                <w:b/>
                <w:bCs/>
                <w:sz w:val="20"/>
                <w:szCs w:val="20"/>
                <w:lang w:eastAsia="cs-CZ"/>
              </w:rPr>
              <w:t>.</w:t>
            </w:r>
            <w:r w:rsidRPr="0065337A">
              <w:rPr>
                <w:rFonts w:ascii="Arial" w:hAnsi="Arial" w:cs="Arial"/>
                <w:sz w:val="20"/>
                <w:szCs w:val="20"/>
                <w:lang w:eastAsia="cs-CZ"/>
              </w:rPr>
              <w:t xml:space="preserve"> </w:t>
            </w:r>
          </w:p>
          <w:p w14:paraId="79190878" w14:textId="77777777" w:rsidR="0055289F" w:rsidRPr="00C94727" w:rsidRDefault="0055289F" w:rsidP="0055289F">
            <w:pPr>
              <w:pStyle w:val="Odstavecseseznamem"/>
              <w:numPr>
                <w:ilvl w:val="0"/>
                <w:numId w:val="19"/>
              </w:numPr>
              <w:spacing w:after="160" w:line="293" w:lineRule="auto"/>
              <w:rPr>
                <w:rFonts w:ascii="Arial" w:hAnsi="Arial" w:cs="Arial"/>
                <w:sz w:val="20"/>
                <w:szCs w:val="20"/>
                <w:lang w:eastAsia="cs-CZ"/>
              </w:rPr>
            </w:pPr>
            <w:r w:rsidRPr="00C94727">
              <w:rPr>
                <w:rFonts w:ascii="Arial" w:hAnsi="Arial" w:cs="Arial"/>
                <w:sz w:val="20"/>
                <w:szCs w:val="20"/>
                <w:lang w:eastAsia="cs-CZ"/>
              </w:rPr>
              <w:t>Finanční správa přijímá žádosti o poskytnutí kompenzačního bonusu za:</w:t>
            </w:r>
          </w:p>
          <w:p w14:paraId="5066E645" w14:textId="77777777" w:rsidR="0055289F" w:rsidRPr="00C94727" w:rsidRDefault="0055289F" w:rsidP="0055289F">
            <w:pPr>
              <w:pStyle w:val="Odstavecseseznamem"/>
              <w:numPr>
                <w:ilvl w:val="1"/>
                <w:numId w:val="19"/>
              </w:numPr>
              <w:spacing w:after="160" w:line="293" w:lineRule="auto"/>
              <w:rPr>
                <w:rFonts w:ascii="Arial" w:hAnsi="Arial" w:cs="Arial"/>
                <w:sz w:val="20"/>
                <w:szCs w:val="20"/>
                <w:lang w:eastAsia="cs-CZ"/>
              </w:rPr>
            </w:pPr>
            <w:r w:rsidRPr="00C94727">
              <w:rPr>
                <w:rFonts w:ascii="Arial" w:hAnsi="Arial" w:cs="Arial"/>
                <w:sz w:val="20"/>
                <w:szCs w:val="20"/>
                <w:lang w:eastAsia="cs-CZ"/>
              </w:rPr>
              <w:t>první bonusové období od 5. 10. do 4. 11. 2020,</w:t>
            </w:r>
          </w:p>
          <w:p w14:paraId="169CB684" w14:textId="77777777" w:rsidR="0055289F" w:rsidRPr="00C94727" w:rsidRDefault="0055289F" w:rsidP="0055289F">
            <w:pPr>
              <w:pStyle w:val="Odstavecseseznamem"/>
              <w:numPr>
                <w:ilvl w:val="1"/>
                <w:numId w:val="19"/>
              </w:numPr>
              <w:spacing w:after="160" w:line="293" w:lineRule="auto"/>
              <w:rPr>
                <w:rFonts w:ascii="Arial" w:hAnsi="Arial" w:cs="Arial"/>
                <w:sz w:val="20"/>
                <w:szCs w:val="20"/>
                <w:lang w:eastAsia="cs-CZ"/>
              </w:rPr>
            </w:pPr>
            <w:r w:rsidRPr="00C94727">
              <w:rPr>
                <w:rFonts w:ascii="Arial" w:hAnsi="Arial" w:cs="Arial"/>
                <w:sz w:val="20"/>
                <w:szCs w:val="20"/>
                <w:lang w:eastAsia="cs-CZ"/>
              </w:rPr>
              <w:t>druhé bonusové období od 5. 11. do 21. 11. 2020,</w:t>
            </w:r>
          </w:p>
          <w:p w14:paraId="1512AA71" w14:textId="77777777" w:rsidR="0055289F" w:rsidRPr="00C94727" w:rsidRDefault="0055289F" w:rsidP="0055289F">
            <w:pPr>
              <w:pStyle w:val="Odstavecseseznamem"/>
              <w:numPr>
                <w:ilvl w:val="1"/>
                <w:numId w:val="19"/>
              </w:numPr>
              <w:spacing w:after="160" w:line="293" w:lineRule="auto"/>
              <w:rPr>
                <w:rFonts w:ascii="Arial" w:hAnsi="Arial" w:cs="Arial"/>
                <w:sz w:val="20"/>
                <w:szCs w:val="20"/>
                <w:lang w:eastAsia="cs-CZ"/>
              </w:rPr>
            </w:pPr>
            <w:r w:rsidRPr="00C94727">
              <w:rPr>
                <w:rFonts w:ascii="Arial" w:hAnsi="Arial" w:cs="Arial"/>
                <w:sz w:val="20"/>
                <w:szCs w:val="20"/>
                <w:lang w:eastAsia="cs-CZ"/>
              </w:rPr>
              <w:t>třetí bonusové období od 22. 11. do 13. 12. 2020,</w:t>
            </w:r>
          </w:p>
          <w:p w14:paraId="09901F9A" w14:textId="095D5E9F" w:rsidR="0055289F" w:rsidRPr="00C94727" w:rsidRDefault="0055289F" w:rsidP="0055289F">
            <w:pPr>
              <w:pStyle w:val="Odstavecseseznamem"/>
              <w:numPr>
                <w:ilvl w:val="1"/>
                <w:numId w:val="19"/>
              </w:numPr>
              <w:spacing w:after="160" w:line="293" w:lineRule="auto"/>
              <w:rPr>
                <w:rFonts w:ascii="Arial" w:hAnsi="Arial" w:cs="Arial"/>
                <w:sz w:val="20"/>
                <w:szCs w:val="20"/>
                <w:lang w:eastAsia="cs-CZ"/>
              </w:rPr>
            </w:pPr>
            <w:r w:rsidRPr="00C94727">
              <w:rPr>
                <w:rFonts w:ascii="Arial" w:hAnsi="Arial" w:cs="Arial"/>
                <w:sz w:val="20"/>
                <w:szCs w:val="20"/>
                <w:lang w:eastAsia="cs-CZ"/>
              </w:rPr>
              <w:t>čtvrté bonusové období od 14. 12. do 24. 12. 2020.</w:t>
            </w:r>
          </w:p>
          <w:p w14:paraId="72525682" w14:textId="32F55A26" w:rsidR="0065337A" w:rsidRDefault="0065337A" w:rsidP="0065337A">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Tato činnost musí být současně za rozhodné období měsíců června až září 2020 pro daného žadatele dominantním zdrojem obživy. </w:t>
            </w:r>
          </w:p>
          <w:p w14:paraId="05CEFCD4" w14:textId="73325BEE" w:rsidR="0065337A" w:rsidRDefault="0065337A" w:rsidP="0065337A">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6DFDA6B4" w14:textId="36373370" w:rsidR="0065337A" w:rsidRPr="0065337A" w:rsidRDefault="0065337A" w:rsidP="0065337A">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lastRenderedPageBreak/>
              <w:t>Program je rozdělen do dvou bonusových období. Prvním bonusovým obdobím je období od 5. října 2020 do 4. listopadu 2020 (až 31 dní, tj. 15 500 Kč). Druhým bonusovým obdobím je období od 5. listopadu 2020 do 21. listopadu 2020 (až 17 dní, tj. 8 500 Kč). Žádost je možné podávat až do 2 měsíců po skončení příslušného bonusového období.</w:t>
            </w:r>
          </w:p>
          <w:p w14:paraId="1E2C8E03" w14:textId="00855D7D" w:rsidR="00DB3360" w:rsidRPr="005E4FBD" w:rsidRDefault="00DB3360"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Současně platí nemožnost kombinace této pomoci s jinou přímou pomocí (například z programu COVID – Kultura)</w:t>
            </w:r>
          </w:p>
        </w:tc>
        <w:tc>
          <w:tcPr>
            <w:tcW w:w="4536" w:type="dxa"/>
            <w:shd w:val="clear" w:color="auto" w:fill="auto"/>
          </w:tcPr>
          <w:p w14:paraId="1A00CB2D" w14:textId="11618453"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Ministerstvo financí</w:t>
            </w:r>
            <w:r w:rsidR="0065337A">
              <w:rPr>
                <w:rFonts w:ascii="Arial" w:hAnsi="Arial" w:cs="Arial"/>
                <w:sz w:val="20"/>
                <w:szCs w:val="20"/>
              </w:rPr>
              <w:t xml:space="preserve"> a Finanční správa</w:t>
            </w:r>
          </w:p>
          <w:p w14:paraId="25A2962E" w14:textId="15FB5558" w:rsidR="000671EF" w:rsidRDefault="00453183" w:rsidP="000671EF">
            <w:pPr>
              <w:spacing w:before="120" w:after="120"/>
              <w:rPr>
                <w:rFonts w:ascii="Arial" w:hAnsi="Arial" w:cs="Arial"/>
                <w:sz w:val="20"/>
                <w:szCs w:val="20"/>
              </w:rPr>
            </w:pPr>
            <w:hyperlink r:id="rId11" w:history="1">
              <w:r w:rsidR="0065337A" w:rsidRPr="00ED43B1">
                <w:rPr>
                  <w:rStyle w:val="Hypertextovodkaz"/>
                  <w:rFonts w:ascii="Arial" w:hAnsi="Arial" w:cs="Arial"/>
                  <w:sz w:val="20"/>
                  <w:szCs w:val="20"/>
                </w:rPr>
                <w:t>https://www.financnisprava.cz/cs/financni-sprava/novinky/2020/FS-zacina-prijimat-zadosti-o-KB-10993</w:t>
              </w:r>
            </w:hyperlink>
          </w:p>
          <w:p w14:paraId="7C163B4E" w14:textId="77777777" w:rsidR="0055289F" w:rsidRPr="00430953" w:rsidRDefault="0055289F" w:rsidP="0055289F">
            <w:pPr>
              <w:spacing w:before="120" w:after="120"/>
              <w:rPr>
                <w:rFonts w:ascii="Arial" w:hAnsi="Arial" w:cs="Arial"/>
                <w:sz w:val="20"/>
                <w:szCs w:val="20"/>
              </w:rPr>
            </w:pPr>
            <w:r w:rsidRPr="00C94727">
              <w:rPr>
                <w:rFonts w:ascii="Arial" w:hAnsi="Arial" w:cs="Arial"/>
                <w:sz w:val="20"/>
                <w:szCs w:val="20"/>
              </w:rPr>
              <w:t>Pokyny pro vyplnění žádostí pro 4. bonusové období:</w:t>
            </w:r>
            <w:r w:rsidRPr="00430953">
              <w:rPr>
                <w:rFonts w:ascii="Arial" w:hAnsi="Arial" w:cs="Arial"/>
                <w:sz w:val="20"/>
                <w:szCs w:val="20"/>
              </w:rPr>
              <w:t xml:space="preserve"> </w:t>
            </w:r>
          </w:p>
          <w:p w14:paraId="7BEE09E1" w14:textId="77777777" w:rsidR="0055289F" w:rsidRPr="00430953" w:rsidRDefault="0055289F" w:rsidP="0055289F">
            <w:pPr>
              <w:spacing w:before="120" w:after="120"/>
              <w:rPr>
                <w:rFonts w:ascii="Arial" w:hAnsi="Arial" w:cs="Arial"/>
                <w:color w:val="004B8D" w:themeColor="hyperlink"/>
                <w:sz w:val="20"/>
                <w:szCs w:val="20"/>
                <w:u w:val="single"/>
              </w:rPr>
            </w:pPr>
            <w:r w:rsidRPr="00430953">
              <w:rPr>
                <w:rFonts w:ascii="Arial" w:hAnsi="Arial" w:cs="Arial"/>
                <w:color w:val="004B8D" w:themeColor="hyperlink"/>
                <w:sz w:val="20"/>
                <w:szCs w:val="20"/>
                <w:u w:val="single"/>
              </w:rPr>
              <w:t>https://ouc.financnisprava.cz/osvc25/Pokyny-k-vyplneni-zadosti-KBV-IV.pdf</w:t>
            </w:r>
          </w:p>
          <w:p w14:paraId="2E50C93B" w14:textId="7C4CB401" w:rsidR="0065337A" w:rsidRPr="005E4FBD" w:rsidRDefault="0065337A" w:rsidP="000671EF">
            <w:pPr>
              <w:spacing w:before="120" w:after="120"/>
              <w:rPr>
                <w:rFonts w:ascii="Arial" w:hAnsi="Arial" w:cs="Arial"/>
                <w:sz w:val="20"/>
                <w:szCs w:val="20"/>
              </w:rPr>
            </w:pPr>
          </w:p>
        </w:tc>
      </w:tr>
      <w:tr w:rsidR="008B4152" w:rsidRPr="00565B06" w14:paraId="39F015B7" w14:textId="77777777" w:rsidTr="001B7C16">
        <w:trPr>
          <w:trHeight w:val="590"/>
        </w:trPr>
        <w:tc>
          <w:tcPr>
            <w:tcW w:w="1917" w:type="dxa"/>
            <w:shd w:val="clear" w:color="auto" w:fill="auto"/>
          </w:tcPr>
          <w:p w14:paraId="7E8E6747" w14:textId="47ADC11D" w:rsidR="008B4152" w:rsidRPr="005E4FBD" w:rsidRDefault="008B4152" w:rsidP="000671EF">
            <w:pPr>
              <w:spacing w:before="120" w:after="120"/>
              <w:rPr>
                <w:rFonts w:ascii="Arial" w:hAnsi="Arial" w:cs="Arial"/>
                <w:b/>
                <w:sz w:val="20"/>
                <w:szCs w:val="20"/>
              </w:rPr>
            </w:pPr>
            <w:bookmarkStart w:id="0" w:name="_GoBack"/>
            <w:bookmarkEnd w:id="0"/>
            <w:r w:rsidRPr="005E4FBD">
              <w:rPr>
                <w:rFonts w:ascii="Arial" w:hAnsi="Arial" w:cs="Arial"/>
                <w:b/>
                <w:sz w:val="20"/>
                <w:szCs w:val="20"/>
              </w:rPr>
              <w:t>COVID-cestovní</w:t>
            </w:r>
            <w:r w:rsidR="00933474">
              <w:rPr>
                <w:rFonts w:ascii="Arial" w:hAnsi="Arial" w:cs="Arial"/>
                <w:b/>
                <w:sz w:val="20"/>
                <w:szCs w:val="20"/>
              </w:rPr>
              <w:t xml:space="preserve"> kanceláře</w:t>
            </w:r>
          </w:p>
          <w:p w14:paraId="6D3EC4B9" w14:textId="1A8423D4" w:rsidR="008B4152" w:rsidRPr="005E4FBD" w:rsidRDefault="008B4152" w:rsidP="000671EF">
            <w:pPr>
              <w:spacing w:before="120" w:after="120"/>
              <w:rPr>
                <w:rFonts w:ascii="Arial" w:hAnsi="Arial" w:cs="Arial"/>
                <w:b/>
                <w:sz w:val="20"/>
                <w:szCs w:val="20"/>
              </w:rPr>
            </w:pPr>
          </w:p>
        </w:tc>
        <w:tc>
          <w:tcPr>
            <w:tcW w:w="9560" w:type="dxa"/>
            <w:shd w:val="clear" w:color="auto" w:fill="auto"/>
          </w:tcPr>
          <w:p w14:paraId="46C530BE" w14:textId="77777777" w:rsidR="009C154D" w:rsidRPr="009C154D" w:rsidRDefault="009C154D" w:rsidP="009C154D">
            <w:pPr>
              <w:pStyle w:val="Odstavecseseznamem"/>
              <w:numPr>
                <w:ilvl w:val="0"/>
                <w:numId w:val="19"/>
              </w:numPr>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6D7C9AAE" w14:textId="77777777" w:rsidR="005E31B4" w:rsidRPr="005E31B4" w:rsidRDefault="005E31B4" w:rsidP="005E31B4">
            <w:pPr>
              <w:pStyle w:val="Odstavecseseznamem"/>
              <w:numPr>
                <w:ilvl w:val="0"/>
                <w:numId w:val="19"/>
              </w:numPr>
              <w:rPr>
                <w:rFonts w:ascii="Arial" w:hAnsi="Arial" w:cs="Arial"/>
                <w:sz w:val="20"/>
                <w:szCs w:val="20"/>
              </w:rPr>
            </w:pPr>
            <w:r w:rsidRPr="005E31B4">
              <w:rPr>
                <w:rFonts w:ascii="Arial" w:hAnsi="Arial" w:cs="Arial"/>
                <w:sz w:val="20"/>
                <w:szCs w:val="20"/>
              </w:rPr>
              <w:t>Platnost výzvy: 02. 11. 2020 - 11. 1. 2021</w:t>
            </w:r>
            <w:r w:rsidRPr="005E31B4">
              <w:rPr>
                <w:rFonts w:ascii="Arial" w:hAnsi="Arial" w:cs="Arial"/>
                <w:sz w:val="20"/>
                <w:szCs w:val="20"/>
              </w:rPr>
              <w:br/>
              <w:t>Příjem žádostí o dotaci: 11. 11. 2020 od 12:00 - 11. 1. 2021 do 12:00</w:t>
            </w:r>
            <w:r w:rsidRPr="005E31B4">
              <w:rPr>
                <w:rFonts w:ascii="Arial" w:hAnsi="Arial" w:cs="Arial"/>
                <w:sz w:val="20"/>
                <w:szCs w:val="20"/>
              </w:rPr>
              <w:br/>
              <w:t>Rozhodné období: 20. 2. 2020 - 10. 10. 2020</w:t>
            </w:r>
          </w:p>
          <w:p w14:paraId="1C0DE791" w14:textId="78128096" w:rsidR="008B4152" w:rsidRPr="005E31B4" w:rsidRDefault="005E31B4" w:rsidP="005E31B4">
            <w:pPr>
              <w:pStyle w:val="Odstavecseseznamem"/>
              <w:numPr>
                <w:ilvl w:val="0"/>
                <w:numId w:val="19"/>
              </w:numPr>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Dotace slouží na provoz a/nebo úhradu nároků zákazníků za zájezdy s termínem zahájení v období od 20. 2. 2020 do 10. 10. 2020, které byly zrušeny z důvodu pandemie koronaviru.</w:t>
            </w:r>
          </w:p>
        </w:tc>
        <w:tc>
          <w:tcPr>
            <w:tcW w:w="4536" w:type="dxa"/>
            <w:shd w:val="clear" w:color="auto" w:fill="auto"/>
          </w:tcPr>
          <w:p w14:paraId="6DCE9B65" w14:textId="7832DE6C" w:rsidR="008B4152" w:rsidRPr="005E4FBD" w:rsidRDefault="008B4152" w:rsidP="008B4152">
            <w:pPr>
              <w:spacing w:before="120" w:after="120"/>
              <w:rPr>
                <w:rFonts w:ascii="Arial" w:hAnsi="Arial" w:cs="Arial"/>
                <w:sz w:val="20"/>
                <w:szCs w:val="20"/>
              </w:rPr>
            </w:pPr>
            <w:r w:rsidRPr="005E4FBD">
              <w:rPr>
                <w:rFonts w:ascii="Arial" w:hAnsi="Arial" w:cs="Arial"/>
                <w:sz w:val="20"/>
                <w:szCs w:val="20"/>
              </w:rPr>
              <w:t>Ministerstvo pro místní rozvoj</w:t>
            </w:r>
          </w:p>
          <w:p w14:paraId="79154E46" w14:textId="566E91F3" w:rsidR="008B4152" w:rsidRDefault="00453183" w:rsidP="002272C9">
            <w:pPr>
              <w:spacing w:before="120" w:after="120"/>
              <w:rPr>
                <w:rFonts w:ascii="Arial" w:hAnsi="Arial" w:cs="Arial"/>
                <w:sz w:val="20"/>
                <w:szCs w:val="20"/>
              </w:rPr>
            </w:pPr>
            <w:hyperlink r:id="rId12" w:history="1">
              <w:r w:rsidR="00966664" w:rsidRPr="00ED43B1">
                <w:rPr>
                  <w:rStyle w:val="Hypertextovodkaz"/>
                  <w:rFonts w:ascii="Arial" w:hAnsi="Arial" w:cs="Arial"/>
                  <w:sz w:val="20"/>
                  <w:szCs w:val="20"/>
                </w:rPr>
                <w:t>https://www.mmr.cz/cs/narodni-dotace/covid-podpora-cestovniho-ruchu/covid-cestovni-kancelare</w:t>
              </w:r>
            </w:hyperlink>
          </w:p>
          <w:p w14:paraId="5C7970FA" w14:textId="484779B7" w:rsidR="00966664" w:rsidRPr="00966664" w:rsidRDefault="00966664" w:rsidP="002272C9">
            <w:pPr>
              <w:spacing w:before="120" w:after="120"/>
              <w:rPr>
                <w:rFonts w:ascii="Arial" w:hAnsi="Arial" w:cs="Arial"/>
                <w:sz w:val="20"/>
                <w:szCs w:val="20"/>
              </w:rPr>
            </w:pPr>
          </w:p>
        </w:tc>
      </w:tr>
      <w:tr w:rsidR="00D43070" w:rsidRPr="00565B06" w14:paraId="7D047141" w14:textId="77777777" w:rsidTr="001B7C16">
        <w:trPr>
          <w:trHeight w:val="590"/>
        </w:trPr>
        <w:tc>
          <w:tcPr>
            <w:tcW w:w="1917" w:type="dxa"/>
            <w:shd w:val="clear" w:color="auto" w:fill="auto"/>
          </w:tcPr>
          <w:p w14:paraId="7904B08E" w14:textId="7C736628" w:rsidR="00D43070" w:rsidRPr="005E4FBD" w:rsidRDefault="00D43070" w:rsidP="000671EF">
            <w:pPr>
              <w:spacing w:before="120" w:after="120"/>
              <w:rPr>
                <w:rFonts w:ascii="Arial" w:hAnsi="Arial" w:cs="Arial"/>
                <w:b/>
                <w:sz w:val="20"/>
                <w:szCs w:val="20"/>
              </w:rPr>
            </w:pPr>
            <w:r>
              <w:rPr>
                <w:rFonts w:ascii="Arial" w:hAnsi="Arial" w:cs="Arial"/>
                <w:b/>
                <w:sz w:val="20"/>
                <w:szCs w:val="20"/>
              </w:rPr>
              <w:t>COVID-cestovní agentury</w:t>
            </w:r>
          </w:p>
        </w:tc>
        <w:tc>
          <w:tcPr>
            <w:tcW w:w="9560" w:type="dxa"/>
            <w:shd w:val="clear" w:color="auto" w:fill="auto"/>
          </w:tcPr>
          <w:p w14:paraId="3783BED8" w14:textId="77777777" w:rsidR="00EF12C9" w:rsidRPr="00EF12C9" w:rsidRDefault="00EF12C9" w:rsidP="00EF12C9">
            <w:pPr>
              <w:pStyle w:val="Odstavecseseznamem"/>
              <w:numPr>
                <w:ilvl w:val="0"/>
                <w:numId w:val="19"/>
              </w:numPr>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FC0F8FF" w14:textId="77777777" w:rsidR="00D11562" w:rsidRPr="00D11562" w:rsidRDefault="00D11562" w:rsidP="00D11562">
            <w:pPr>
              <w:pStyle w:val="Odstavecseseznamem"/>
              <w:numPr>
                <w:ilvl w:val="0"/>
                <w:numId w:val="19"/>
              </w:numPr>
              <w:rPr>
                <w:rFonts w:ascii="Arial" w:hAnsi="Arial" w:cs="Arial"/>
                <w:sz w:val="20"/>
                <w:szCs w:val="20"/>
              </w:rPr>
            </w:pPr>
            <w:r w:rsidRPr="00D11562">
              <w:rPr>
                <w:rFonts w:ascii="Arial" w:hAnsi="Arial" w:cs="Arial"/>
                <w:sz w:val="20"/>
                <w:szCs w:val="20"/>
              </w:rPr>
              <w:t>Platnost výzvy: 02. 11. 2020 - 11. 1. 2021</w:t>
            </w:r>
            <w:r w:rsidRPr="00D11562">
              <w:rPr>
                <w:rFonts w:ascii="Arial" w:hAnsi="Arial" w:cs="Arial"/>
                <w:sz w:val="20"/>
                <w:szCs w:val="20"/>
              </w:rPr>
              <w:br/>
              <w:t>Příjem žádostí o dotaci: 11. 11. 2020 od 12:00 - 11. 1. 2021 do 12:00</w:t>
            </w:r>
            <w:r w:rsidRPr="00D11562">
              <w:rPr>
                <w:rFonts w:ascii="Arial" w:hAnsi="Arial" w:cs="Arial"/>
                <w:sz w:val="20"/>
                <w:szCs w:val="20"/>
              </w:rPr>
              <w:br/>
              <w:t>Rozhodné období: 20. 2. 2020 - 10. 10. 2020 (v případě zrušených lázeňských pobytů je rozhodné období od 14. 3. 2020 do 24. 5. 2020)</w:t>
            </w:r>
          </w:p>
          <w:p w14:paraId="034BE2E0" w14:textId="77777777" w:rsidR="00D11562" w:rsidRPr="00D11562" w:rsidRDefault="00D11562" w:rsidP="00D11562">
            <w:pPr>
              <w:pStyle w:val="Odstavecseseznamem"/>
              <w:numPr>
                <w:ilvl w:val="0"/>
                <w:numId w:val="19"/>
              </w:numPr>
              <w:rPr>
                <w:rFonts w:ascii="Arial" w:hAnsi="Arial" w:cs="Arial"/>
                <w:sz w:val="20"/>
                <w:szCs w:val="20"/>
              </w:rPr>
            </w:pPr>
            <w:r w:rsidRPr="00D11562">
              <w:rPr>
                <w:rFonts w:ascii="Arial" w:hAnsi="Arial" w:cs="Arial"/>
                <w:b/>
                <w:bCs/>
                <w:sz w:val="20"/>
                <w:szCs w:val="20"/>
              </w:rPr>
              <w:t>Dotace ve výši 500 Kč</w:t>
            </w:r>
            <w:r w:rsidRPr="00D11562">
              <w:rPr>
                <w:rFonts w:ascii="Arial" w:hAnsi="Arial" w:cs="Arial"/>
                <w:sz w:val="20"/>
                <w:szCs w:val="20"/>
              </w:rPr>
              <w:t> na pokrytí ztrát cestovních agentur za zrušený zájezd či lázeňský pobyt. Dotace bude počítána za zájezdy s termínem zahájení v období od 20. 2. 2020 do 10. 10. 2020, které byly zrušeny z důvodu pandemie koronaviru.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43F64221" w14:textId="3A294C91" w:rsidR="00D43070" w:rsidRPr="00D11562" w:rsidRDefault="00D11562" w:rsidP="00D11562">
            <w:pPr>
              <w:pStyle w:val="Odstavecseseznamem"/>
              <w:numPr>
                <w:ilvl w:val="0"/>
                <w:numId w:val="19"/>
              </w:numPr>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hAnsi="Arial" w:cs="Arial"/>
                <w:sz w:val="20"/>
                <w:szCs w:val="20"/>
              </w:rPr>
              <w:t> za předpokladu, že zaznamenala více než 50% propad a že jde o agenturu, jejíž hlavní činností je </w:t>
            </w:r>
            <w:r w:rsidRPr="00D11562">
              <w:rPr>
                <w:rFonts w:ascii="Arial" w:hAnsi="Arial" w:cs="Arial"/>
                <w:b/>
                <w:bCs/>
                <w:sz w:val="20"/>
                <w:szCs w:val="20"/>
              </w:rPr>
              <w:t>příjezdový cestovní ruch</w:t>
            </w:r>
            <w:r w:rsidRPr="00D11562">
              <w:rPr>
                <w:rFonts w:ascii="Arial" w:hAnsi="Arial" w:cs="Arial"/>
                <w:sz w:val="20"/>
                <w:szCs w:val="20"/>
              </w:rPr>
              <w:t>.</w:t>
            </w:r>
          </w:p>
        </w:tc>
        <w:tc>
          <w:tcPr>
            <w:tcW w:w="4536" w:type="dxa"/>
            <w:shd w:val="clear" w:color="auto" w:fill="auto"/>
          </w:tcPr>
          <w:p w14:paraId="6CA9D816" w14:textId="77777777" w:rsidR="00D43070" w:rsidRDefault="00D11562" w:rsidP="008B4152">
            <w:pPr>
              <w:spacing w:before="120" w:after="120"/>
              <w:rPr>
                <w:rFonts w:ascii="Arial" w:hAnsi="Arial" w:cs="Arial"/>
                <w:sz w:val="20"/>
                <w:szCs w:val="20"/>
              </w:rPr>
            </w:pPr>
            <w:r>
              <w:rPr>
                <w:rFonts w:ascii="Arial" w:hAnsi="Arial" w:cs="Arial"/>
                <w:sz w:val="20"/>
                <w:szCs w:val="20"/>
              </w:rPr>
              <w:t>Ministerstvo pro místní rozvoj</w:t>
            </w:r>
          </w:p>
          <w:p w14:paraId="5D9720BF" w14:textId="363BACB6" w:rsidR="00D11562" w:rsidRDefault="00453183" w:rsidP="008B4152">
            <w:pPr>
              <w:spacing w:before="120" w:after="120"/>
              <w:rPr>
                <w:rFonts w:ascii="Arial" w:hAnsi="Arial" w:cs="Arial"/>
                <w:sz w:val="20"/>
                <w:szCs w:val="20"/>
              </w:rPr>
            </w:pPr>
            <w:hyperlink r:id="rId13" w:history="1">
              <w:r w:rsidR="008173B5" w:rsidRPr="00ED43B1">
                <w:rPr>
                  <w:rStyle w:val="Hypertextovodkaz"/>
                  <w:rFonts w:ascii="Arial" w:hAnsi="Arial" w:cs="Arial"/>
                  <w:sz w:val="20"/>
                  <w:szCs w:val="20"/>
                </w:rPr>
                <w:t>https://www.mmr.cz/cs/narodni-dotace/covid-podpora-cestovniho-ruchu/covid-–-cestovni-agentury</w:t>
              </w:r>
            </w:hyperlink>
          </w:p>
          <w:p w14:paraId="5953C048" w14:textId="5EF44F68" w:rsidR="008173B5" w:rsidRPr="005E4FBD" w:rsidRDefault="008173B5" w:rsidP="008B4152">
            <w:pPr>
              <w:spacing w:before="120" w:after="120"/>
              <w:rPr>
                <w:rFonts w:ascii="Arial" w:hAnsi="Arial" w:cs="Arial"/>
                <w:sz w:val="20"/>
                <w:szCs w:val="20"/>
              </w:rPr>
            </w:pPr>
          </w:p>
        </w:tc>
      </w:tr>
      <w:tr w:rsidR="008173B5" w:rsidRPr="00565B06" w14:paraId="3C9EB21E" w14:textId="77777777" w:rsidTr="001B7C16">
        <w:trPr>
          <w:trHeight w:val="590"/>
        </w:trPr>
        <w:tc>
          <w:tcPr>
            <w:tcW w:w="1917" w:type="dxa"/>
            <w:shd w:val="clear" w:color="auto" w:fill="auto"/>
          </w:tcPr>
          <w:p w14:paraId="10FCA3FF" w14:textId="26CA72DD" w:rsidR="008173B5" w:rsidRPr="00451DC9" w:rsidRDefault="008173B5" w:rsidP="000671EF">
            <w:pPr>
              <w:spacing w:before="120" w:after="120"/>
              <w:rPr>
                <w:rFonts w:ascii="Arial" w:hAnsi="Arial" w:cs="Arial"/>
                <w:b/>
                <w:sz w:val="20"/>
                <w:szCs w:val="20"/>
              </w:rPr>
            </w:pPr>
            <w:r>
              <w:rPr>
                <w:rFonts w:ascii="Arial" w:hAnsi="Arial" w:cs="Arial"/>
                <w:b/>
                <w:sz w:val="20"/>
                <w:szCs w:val="20"/>
              </w:rPr>
              <w:t>COVID-Průvodci v cestovním ruchu</w:t>
            </w:r>
          </w:p>
        </w:tc>
        <w:tc>
          <w:tcPr>
            <w:tcW w:w="9560" w:type="dxa"/>
            <w:shd w:val="clear" w:color="auto" w:fill="auto"/>
          </w:tcPr>
          <w:p w14:paraId="2BA3B8EB" w14:textId="77777777" w:rsidR="00451DC9" w:rsidRPr="00451DC9" w:rsidRDefault="00451DC9" w:rsidP="00451DC9">
            <w:pPr>
              <w:pStyle w:val="Odstavecseseznamem"/>
              <w:numPr>
                <w:ilvl w:val="0"/>
                <w:numId w:val="19"/>
              </w:numPr>
              <w:rPr>
                <w:rFonts w:ascii="Arial" w:hAnsi="Arial" w:cs="Arial"/>
                <w:sz w:val="20"/>
                <w:szCs w:val="20"/>
              </w:rPr>
            </w:pPr>
            <w:r w:rsidRPr="00451DC9">
              <w:rPr>
                <w:rFonts w:ascii="Arial" w:hAnsi="Arial" w:cs="Arial"/>
                <w:sz w:val="20"/>
                <w:szCs w:val="20"/>
              </w:rPr>
              <w:t>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služeba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52684E8B" w14:textId="77777777" w:rsidR="00A165EE" w:rsidRPr="00A165EE" w:rsidRDefault="00A165EE" w:rsidP="00A165EE">
            <w:pPr>
              <w:pStyle w:val="Odstavecseseznamem"/>
              <w:numPr>
                <w:ilvl w:val="0"/>
                <w:numId w:val="19"/>
              </w:numPr>
              <w:rPr>
                <w:rFonts w:ascii="Arial" w:hAnsi="Arial" w:cs="Arial"/>
                <w:sz w:val="20"/>
                <w:szCs w:val="20"/>
              </w:rPr>
            </w:pPr>
            <w:r w:rsidRPr="00A165EE">
              <w:rPr>
                <w:rFonts w:ascii="Arial" w:hAnsi="Arial" w:cs="Arial"/>
                <w:sz w:val="20"/>
                <w:szCs w:val="20"/>
              </w:rPr>
              <w:lastRenderedPageBreak/>
              <w:t>Platnost výzvy: 02. 11. 2020 - 11. 1. 2021</w:t>
            </w:r>
            <w:r w:rsidRPr="00A165EE">
              <w:rPr>
                <w:rFonts w:ascii="Arial" w:hAnsi="Arial" w:cs="Arial"/>
                <w:sz w:val="20"/>
                <w:szCs w:val="20"/>
              </w:rPr>
              <w:br/>
              <w:t>Příjem žádostí o dotaci: 11. 11. 2020 od 12:00 - 11. 1. 2021 do 12:00</w:t>
            </w:r>
            <w:r w:rsidRPr="00A165EE">
              <w:rPr>
                <w:rFonts w:ascii="Arial" w:hAnsi="Arial" w:cs="Arial"/>
                <w:sz w:val="20"/>
                <w:szCs w:val="20"/>
              </w:rPr>
              <w:br/>
              <w:t>Rozhodné období: 1. 6. 2020 - 30. 9. 2020</w:t>
            </w:r>
          </w:p>
          <w:p w14:paraId="72DBC576" w14:textId="77777777" w:rsidR="00A165EE" w:rsidRPr="00A165EE" w:rsidRDefault="00A165EE" w:rsidP="00A165EE">
            <w:pPr>
              <w:pStyle w:val="Odstavecseseznamem"/>
              <w:numPr>
                <w:ilvl w:val="0"/>
                <w:numId w:val="19"/>
              </w:numPr>
              <w:rPr>
                <w:rFonts w:ascii="Arial" w:hAnsi="Arial" w:cs="Arial"/>
                <w:sz w:val="20"/>
                <w:szCs w:val="20"/>
              </w:rPr>
            </w:pPr>
            <w:r w:rsidRPr="00A165EE">
              <w:rPr>
                <w:rFonts w:ascii="Arial" w:hAnsi="Arial" w:cs="Arial"/>
                <w:sz w:val="20"/>
                <w:szCs w:val="20"/>
              </w:rPr>
              <w:t>Průvodce může požádat o dotaci:</w:t>
            </w:r>
          </w:p>
          <w:p w14:paraId="74334636" w14:textId="77777777" w:rsidR="00A165EE" w:rsidRPr="00A165EE" w:rsidRDefault="00A165EE" w:rsidP="00A165EE">
            <w:pPr>
              <w:pStyle w:val="Odstavecseseznamem"/>
              <w:numPr>
                <w:ilvl w:val="1"/>
                <w:numId w:val="19"/>
              </w:numPr>
              <w:rPr>
                <w:rFonts w:ascii="Arial" w:hAnsi="Arial" w:cs="Arial"/>
                <w:sz w:val="20"/>
                <w:szCs w:val="20"/>
              </w:rPr>
            </w:pPr>
            <w:r w:rsidRPr="00A165EE">
              <w:rPr>
                <w:rFonts w:ascii="Arial" w:hAnsi="Arial" w:cs="Arial"/>
                <w:b/>
                <w:bCs/>
                <w:sz w:val="20"/>
                <w:szCs w:val="20"/>
              </w:rPr>
              <w:t>ve výši 50 000 Kč;</w:t>
            </w:r>
            <w:r w:rsidRPr="00A165EE">
              <w:rPr>
                <w:rFonts w:ascii="Arial" w:hAnsi="Arial" w:cs="Arial"/>
                <w:sz w:val="20"/>
                <w:szCs w:val="20"/>
              </w:rPr>
              <w:t> za předpokladu, že</w:t>
            </w:r>
          </w:p>
          <w:p w14:paraId="6E1979AE" w14:textId="77777777" w:rsidR="00A165EE" w:rsidRPr="00A165EE" w:rsidRDefault="00A165EE" w:rsidP="00A165EE">
            <w:pPr>
              <w:pStyle w:val="Odstavecseseznamem"/>
              <w:numPr>
                <w:ilvl w:val="1"/>
                <w:numId w:val="19"/>
              </w:numPr>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472C2BC1" w14:textId="53731F96" w:rsidR="008173B5" w:rsidRPr="00A165EE" w:rsidRDefault="00A165EE" w:rsidP="00A165EE">
            <w:pPr>
              <w:pStyle w:val="Odstavecseseznamem"/>
              <w:numPr>
                <w:ilvl w:val="1"/>
                <w:numId w:val="19"/>
              </w:numPr>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4536" w:type="dxa"/>
            <w:shd w:val="clear" w:color="auto" w:fill="auto"/>
          </w:tcPr>
          <w:p w14:paraId="72596AF0" w14:textId="77777777" w:rsidR="008173B5" w:rsidRDefault="00A165EE" w:rsidP="008B4152">
            <w:pPr>
              <w:spacing w:before="120" w:after="120"/>
              <w:rPr>
                <w:rFonts w:ascii="Arial" w:hAnsi="Arial" w:cs="Arial"/>
                <w:sz w:val="20"/>
                <w:szCs w:val="20"/>
              </w:rPr>
            </w:pPr>
            <w:r>
              <w:rPr>
                <w:rFonts w:ascii="Arial" w:hAnsi="Arial" w:cs="Arial"/>
                <w:sz w:val="20"/>
                <w:szCs w:val="20"/>
              </w:rPr>
              <w:lastRenderedPageBreak/>
              <w:t>Ministerstvo pro místní rozvoj</w:t>
            </w:r>
          </w:p>
          <w:p w14:paraId="3916CCA0" w14:textId="7C8045E4" w:rsidR="00A165EE" w:rsidRDefault="00453183" w:rsidP="008B4152">
            <w:pPr>
              <w:spacing w:before="120" w:after="120"/>
              <w:rPr>
                <w:rFonts w:ascii="Arial" w:hAnsi="Arial" w:cs="Arial"/>
                <w:sz w:val="20"/>
                <w:szCs w:val="20"/>
              </w:rPr>
            </w:pPr>
            <w:hyperlink r:id="rId14" w:history="1">
              <w:r w:rsidR="00774148" w:rsidRPr="00ED43B1">
                <w:rPr>
                  <w:rStyle w:val="Hypertextovodkaz"/>
                  <w:rFonts w:ascii="Arial" w:hAnsi="Arial" w:cs="Arial"/>
                  <w:sz w:val="20"/>
                  <w:szCs w:val="20"/>
                </w:rPr>
                <w:t>https://www.mmr.cz/cs/narodni-dotace/covid-podpora-cestovniho-ruchu/covid-–-pruvodci-v-cestovnim-ruchu</w:t>
              </w:r>
            </w:hyperlink>
          </w:p>
          <w:p w14:paraId="049754D9" w14:textId="7A195675" w:rsidR="00774148" w:rsidRDefault="00774148" w:rsidP="008B4152">
            <w:pPr>
              <w:spacing w:before="120" w:after="120"/>
              <w:rPr>
                <w:rFonts w:ascii="Arial" w:hAnsi="Arial" w:cs="Arial"/>
                <w:sz w:val="20"/>
                <w:szCs w:val="20"/>
              </w:rPr>
            </w:pPr>
          </w:p>
        </w:tc>
      </w:tr>
      <w:tr w:rsidR="000671EF" w:rsidRPr="00565B06" w14:paraId="680D48A2" w14:textId="77777777" w:rsidTr="001B7C16">
        <w:trPr>
          <w:trHeight w:val="578"/>
        </w:trPr>
        <w:tc>
          <w:tcPr>
            <w:tcW w:w="1917" w:type="dxa"/>
            <w:shd w:val="clear" w:color="auto" w:fill="auto"/>
          </w:tcPr>
          <w:p w14:paraId="14040EA7"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Záruka COVID PLUS (EGAP)</w:t>
            </w:r>
          </w:p>
          <w:p w14:paraId="168073B6" w14:textId="45DA75F4" w:rsidR="000671EF" w:rsidRPr="005E4FBD" w:rsidRDefault="000671EF" w:rsidP="000671EF">
            <w:pPr>
              <w:rPr>
                <w:rFonts w:ascii="Arial" w:hAnsi="Arial" w:cs="Arial"/>
                <w:sz w:val="20"/>
                <w:szCs w:val="20"/>
              </w:rPr>
            </w:pPr>
          </w:p>
        </w:tc>
        <w:tc>
          <w:tcPr>
            <w:tcW w:w="9560" w:type="dxa"/>
            <w:shd w:val="clear" w:color="auto" w:fill="auto"/>
          </w:tcPr>
          <w:p w14:paraId="1C767717" w14:textId="7AE660F9"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3F8B7BA5"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6F2FF380"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2DAD0FA6" w14:textId="09E3E154"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tc>
        <w:tc>
          <w:tcPr>
            <w:tcW w:w="4536" w:type="dxa"/>
            <w:shd w:val="clear" w:color="auto" w:fill="auto"/>
          </w:tcPr>
          <w:p w14:paraId="03AFECAE"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Podání žádostí je možné na stránkách EGAP:</w:t>
            </w:r>
          </w:p>
          <w:p w14:paraId="5E6872E9" w14:textId="7C99B6BD" w:rsidR="000671EF" w:rsidRPr="005E4FBD" w:rsidRDefault="00453183" w:rsidP="000671EF">
            <w:pPr>
              <w:spacing w:before="120" w:after="120"/>
              <w:rPr>
                <w:rFonts w:ascii="Arial" w:hAnsi="Arial" w:cs="Arial"/>
                <w:sz w:val="20"/>
                <w:szCs w:val="20"/>
              </w:rPr>
            </w:pPr>
            <w:hyperlink r:id="rId15" w:history="1">
              <w:r w:rsidR="000671EF" w:rsidRPr="005E4FBD">
                <w:rPr>
                  <w:rStyle w:val="Hypertextovodkaz"/>
                  <w:rFonts w:ascii="Arial" w:hAnsi="Arial" w:cs="Arial"/>
                  <w:sz w:val="20"/>
                  <w:szCs w:val="20"/>
                </w:rPr>
                <w:t>https://eol.egap.cz/Covid</w:t>
              </w:r>
            </w:hyperlink>
          </w:p>
        </w:tc>
      </w:tr>
      <w:tr w:rsidR="001A1312" w:rsidRPr="00565B06" w14:paraId="3F59ED65" w14:textId="77777777" w:rsidTr="00C94727">
        <w:trPr>
          <w:trHeight w:val="841"/>
        </w:trPr>
        <w:tc>
          <w:tcPr>
            <w:tcW w:w="1917" w:type="dxa"/>
            <w:shd w:val="clear" w:color="auto" w:fill="auto"/>
          </w:tcPr>
          <w:p w14:paraId="6D695DC5" w14:textId="79655610" w:rsidR="001A1312" w:rsidRDefault="001A1312" w:rsidP="000671EF">
            <w:pPr>
              <w:spacing w:before="120" w:after="120"/>
              <w:rPr>
                <w:rFonts w:ascii="Arial" w:hAnsi="Arial" w:cs="Arial"/>
                <w:b/>
                <w:sz w:val="20"/>
                <w:szCs w:val="20"/>
              </w:rPr>
            </w:pPr>
            <w:r>
              <w:rPr>
                <w:rFonts w:ascii="Arial" w:hAnsi="Arial" w:cs="Arial"/>
                <w:b/>
                <w:sz w:val="20"/>
                <w:szCs w:val="20"/>
              </w:rPr>
              <w:t>Agricovid</w:t>
            </w:r>
            <w:r w:rsidR="002F1148">
              <w:rPr>
                <w:rFonts w:ascii="Arial" w:hAnsi="Arial" w:cs="Arial"/>
                <w:b/>
                <w:sz w:val="20"/>
                <w:szCs w:val="20"/>
              </w:rPr>
              <w:t xml:space="preserve"> </w:t>
            </w:r>
            <w:r w:rsidR="002F1148" w:rsidRPr="00C94727">
              <w:rPr>
                <w:rFonts w:ascii="Arial" w:hAnsi="Arial" w:cs="Arial"/>
                <w:b/>
                <w:sz w:val="20"/>
                <w:szCs w:val="20"/>
              </w:rPr>
              <w:t>Potravinářství</w:t>
            </w:r>
          </w:p>
          <w:p w14:paraId="5C1AB45F" w14:textId="13787DDE" w:rsidR="00CC3646" w:rsidRPr="00CC3646" w:rsidRDefault="00CC3646" w:rsidP="000671EF">
            <w:pPr>
              <w:spacing w:before="120" w:after="120"/>
              <w:rPr>
                <w:rFonts w:ascii="Arial" w:hAnsi="Arial" w:cs="Arial"/>
                <w:b/>
                <w:color w:val="FF0000"/>
                <w:sz w:val="20"/>
                <w:szCs w:val="20"/>
              </w:rPr>
            </w:pPr>
          </w:p>
        </w:tc>
        <w:tc>
          <w:tcPr>
            <w:tcW w:w="9560" w:type="dxa"/>
            <w:shd w:val="clear" w:color="auto" w:fill="auto"/>
          </w:tcPr>
          <w:p w14:paraId="3B4A30EA" w14:textId="77777777" w:rsidR="002F1148" w:rsidRPr="00C94727" w:rsidRDefault="002F1148" w:rsidP="002F1148">
            <w:pPr>
              <w:pStyle w:val="Odstavecseseznamem"/>
              <w:numPr>
                <w:ilvl w:val="0"/>
                <w:numId w:val="19"/>
              </w:numPr>
              <w:spacing w:before="120" w:after="120"/>
              <w:rPr>
                <w:rFonts w:ascii="Arial" w:hAnsi="Arial" w:cs="Arial"/>
                <w:sz w:val="20"/>
                <w:szCs w:val="20"/>
              </w:rPr>
            </w:pPr>
            <w:r w:rsidRPr="00C94727">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koronaviru. Podmínkou žádosti je pokles příjmu o více než 25 % </w:t>
            </w:r>
            <w:r w:rsidRPr="00C94727">
              <w:rPr>
                <w:rFonts w:ascii="Arial" w:hAnsi="Arial" w:cs="Arial"/>
                <w:b/>
                <w:bCs/>
                <w:sz w:val="20"/>
                <w:szCs w:val="20"/>
              </w:rPr>
              <w:t>za rozhodné období, tj. od 1. března do 30. listopadu 2020</w:t>
            </w:r>
            <w:r w:rsidRPr="00C94727">
              <w:rPr>
                <w:rFonts w:ascii="Arial" w:hAnsi="Arial" w:cs="Arial"/>
                <w:sz w:val="20"/>
                <w:szCs w:val="20"/>
              </w:rPr>
              <w:t>.</w:t>
            </w:r>
          </w:p>
          <w:p w14:paraId="28434CC3" w14:textId="77777777" w:rsidR="002F1148" w:rsidRPr="00C94727" w:rsidRDefault="002F1148" w:rsidP="002F1148">
            <w:pPr>
              <w:pStyle w:val="Odstavecseseznamem"/>
              <w:numPr>
                <w:ilvl w:val="0"/>
                <w:numId w:val="19"/>
              </w:numPr>
              <w:spacing w:before="120" w:after="120"/>
              <w:rPr>
                <w:rFonts w:ascii="Arial" w:hAnsi="Arial" w:cs="Arial"/>
                <w:sz w:val="20"/>
                <w:szCs w:val="20"/>
              </w:rPr>
            </w:pPr>
            <w:r w:rsidRPr="00C94727">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38E4A0D1" w14:textId="77777777" w:rsidR="002F1148" w:rsidRPr="00C94727" w:rsidRDefault="002F1148" w:rsidP="002F1148">
            <w:pPr>
              <w:pStyle w:val="Odstavecseseznamem"/>
              <w:numPr>
                <w:ilvl w:val="0"/>
                <w:numId w:val="19"/>
              </w:numPr>
              <w:spacing w:before="120" w:after="120" w:line="293" w:lineRule="auto"/>
              <w:rPr>
                <w:rFonts w:ascii="Arial" w:hAnsi="Arial" w:cs="Arial"/>
                <w:sz w:val="20"/>
                <w:szCs w:val="20"/>
              </w:rPr>
            </w:pPr>
            <w:r w:rsidRPr="00C94727">
              <w:rPr>
                <w:rFonts w:ascii="Arial" w:hAnsi="Arial" w:cs="Arial"/>
                <w:sz w:val="20"/>
                <w:szCs w:val="20"/>
              </w:rPr>
              <w:t>Příjem žádostí bude probíhat prostřednictvím systému „Modul pro Žadatele“</w:t>
            </w:r>
          </w:p>
          <w:p w14:paraId="07867B41" w14:textId="027381BB" w:rsidR="001A1312" w:rsidRPr="00C94727" w:rsidRDefault="002F1148" w:rsidP="00C94727">
            <w:pPr>
              <w:pStyle w:val="Odstavecseseznamem"/>
              <w:numPr>
                <w:ilvl w:val="0"/>
                <w:numId w:val="19"/>
              </w:numPr>
              <w:spacing w:before="120" w:after="120"/>
              <w:rPr>
                <w:rFonts w:ascii="Arial" w:hAnsi="Arial" w:cs="Arial"/>
                <w:sz w:val="20"/>
                <w:szCs w:val="20"/>
              </w:rPr>
            </w:pPr>
            <w:r w:rsidRPr="00C94727">
              <w:rPr>
                <w:rFonts w:ascii="Arial" w:hAnsi="Arial" w:cs="Arial"/>
                <w:sz w:val="20"/>
                <w:szCs w:val="20"/>
              </w:rPr>
              <w:t>od 1. prosince 2020 do 15. ledna 2021.</w:t>
            </w:r>
          </w:p>
        </w:tc>
        <w:tc>
          <w:tcPr>
            <w:tcW w:w="4536" w:type="dxa"/>
            <w:shd w:val="clear" w:color="auto" w:fill="auto"/>
          </w:tcPr>
          <w:p w14:paraId="1C93880A" w14:textId="08F1FFDA" w:rsidR="002F1148" w:rsidRPr="00C94727" w:rsidRDefault="002F1148" w:rsidP="002F1148">
            <w:pPr>
              <w:spacing w:before="120" w:after="120"/>
              <w:rPr>
                <w:rFonts w:ascii="Arial" w:hAnsi="Arial" w:cs="Arial"/>
                <w:sz w:val="20"/>
                <w:szCs w:val="20"/>
              </w:rPr>
            </w:pPr>
            <w:r w:rsidRPr="00C94727">
              <w:rPr>
                <w:rFonts w:ascii="Arial" w:hAnsi="Arial" w:cs="Arial"/>
                <w:sz w:val="20"/>
                <w:szCs w:val="20"/>
              </w:rPr>
              <w:t>Ministerstvo zemědělství</w:t>
            </w:r>
          </w:p>
          <w:p w14:paraId="62D6A30D" w14:textId="77777777" w:rsidR="002F1148" w:rsidRPr="00C94727" w:rsidRDefault="00453183" w:rsidP="002F1148">
            <w:pPr>
              <w:spacing w:before="120" w:after="120"/>
              <w:ind w:left="-45"/>
              <w:rPr>
                <w:rStyle w:val="Hypertextovodkaz"/>
                <w:rFonts w:ascii="Arial" w:hAnsi="Arial" w:cs="Arial"/>
                <w:sz w:val="20"/>
                <w:szCs w:val="20"/>
              </w:rPr>
            </w:pPr>
            <w:hyperlink r:id="rId16" w:history="1">
              <w:r w:rsidR="002F1148" w:rsidRPr="00C94727">
                <w:rPr>
                  <w:rStyle w:val="Hypertextovodkaz"/>
                  <w:rFonts w:ascii="Arial" w:hAnsi="Arial" w:cs="Arial"/>
                  <w:sz w:val="20"/>
                  <w:szCs w:val="20"/>
                </w:rPr>
                <w:t>http://eagri.cz/public/web/mze/tiskovy-servis/aktuality/koronavirus/ministerstvo-zemedelstvi-zverejnilo.html</w:t>
              </w:r>
            </w:hyperlink>
          </w:p>
          <w:p w14:paraId="28455444" w14:textId="77777777" w:rsidR="00CE57B5" w:rsidRPr="00C94727" w:rsidRDefault="00CE57B5" w:rsidP="002F1148">
            <w:pPr>
              <w:spacing w:before="120" w:after="120"/>
              <w:rPr>
                <w:rFonts w:ascii="Arial" w:hAnsi="Arial" w:cs="Arial"/>
                <w:sz w:val="20"/>
                <w:szCs w:val="20"/>
              </w:rPr>
            </w:pPr>
          </w:p>
          <w:p w14:paraId="5F3A0522" w14:textId="26EB3462" w:rsidR="002F1148" w:rsidRPr="00C94727" w:rsidRDefault="002F1148" w:rsidP="002F1148">
            <w:pPr>
              <w:spacing w:before="120" w:after="120"/>
              <w:rPr>
                <w:rFonts w:ascii="Arial" w:hAnsi="Arial" w:cs="Arial"/>
                <w:sz w:val="20"/>
                <w:szCs w:val="20"/>
              </w:rPr>
            </w:pPr>
            <w:r w:rsidRPr="00C94727">
              <w:rPr>
                <w:rFonts w:ascii="Arial" w:hAnsi="Arial" w:cs="Arial"/>
                <w:sz w:val="20"/>
                <w:szCs w:val="20"/>
              </w:rPr>
              <w:t>Modul pro žadatele o podporu</w:t>
            </w:r>
          </w:p>
          <w:p w14:paraId="4D332D33" w14:textId="752865E2" w:rsidR="0055242E" w:rsidRPr="005E4FBD" w:rsidRDefault="00453183" w:rsidP="000671EF">
            <w:pPr>
              <w:spacing w:before="120" w:after="120"/>
              <w:rPr>
                <w:rFonts w:ascii="Arial" w:hAnsi="Arial" w:cs="Arial"/>
                <w:sz w:val="20"/>
                <w:szCs w:val="20"/>
              </w:rPr>
            </w:pPr>
            <w:hyperlink r:id="rId17" w:history="1">
              <w:r w:rsidR="002F1148" w:rsidRPr="00C94727">
                <w:rPr>
                  <w:rStyle w:val="Hypertextovodkaz"/>
                  <w:rFonts w:ascii="Arial" w:hAnsi="Arial" w:cs="Arial"/>
                  <w:sz w:val="20"/>
                  <w:szCs w:val="20"/>
                </w:rPr>
                <w:t>http://eagri.cz/public/app/MpZ/Gui</w:t>
              </w:r>
            </w:hyperlink>
          </w:p>
        </w:tc>
      </w:tr>
      <w:tr w:rsidR="000671EF" w:rsidRPr="00565B06" w14:paraId="43F53DF2" w14:textId="77777777" w:rsidTr="001B7C16">
        <w:trPr>
          <w:trHeight w:val="578"/>
        </w:trPr>
        <w:tc>
          <w:tcPr>
            <w:tcW w:w="1917" w:type="dxa"/>
            <w:shd w:val="clear" w:color="auto" w:fill="auto"/>
          </w:tcPr>
          <w:p w14:paraId="72D33840"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Balíček opatření na podporu exportérů (EGAP)</w:t>
            </w:r>
          </w:p>
          <w:p w14:paraId="3401F413" w14:textId="24F15A1A" w:rsidR="000671EF" w:rsidRPr="005E4FBD" w:rsidRDefault="000671EF" w:rsidP="000671EF">
            <w:pPr>
              <w:spacing w:before="120" w:after="120"/>
              <w:rPr>
                <w:rFonts w:ascii="Arial" w:hAnsi="Arial" w:cs="Arial"/>
                <w:b/>
                <w:sz w:val="20"/>
                <w:szCs w:val="20"/>
              </w:rPr>
            </w:pPr>
          </w:p>
        </w:tc>
        <w:tc>
          <w:tcPr>
            <w:tcW w:w="9560" w:type="dxa"/>
            <w:shd w:val="clear" w:color="auto" w:fill="auto"/>
          </w:tcPr>
          <w:p w14:paraId="5A15B418" w14:textId="7F043F8D"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lastRenderedPageBreak/>
              <w:t>zavedení tzv. Fast Tracku, tedy přednostní vyřízení žádosti o pojištění pro vývozce, kteří v důsledku světové pandemie koronaviru hledají nové odběratele</w:t>
            </w:r>
          </w:p>
          <w:p w14:paraId="70C49D49"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prověří bonitu a platební schopnost zahraničního odběratele</w:t>
            </w:r>
          </w:p>
          <w:p w14:paraId="406B5BE4"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ve zkráceném procesu připraví pojistné smlouvy ošetřující riziko neodebrání zboží nebo nezaplacení faktury vývozce</w:t>
            </w:r>
          </w:p>
          <w:p w14:paraId="71B1231A"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Více informací na stránkách EGAP:</w:t>
            </w:r>
          </w:p>
          <w:p w14:paraId="4686FF19" w14:textId="591C7851" w:rsidR="000671EF" w:rsidRPr="005E4FBD" w:rsidRDefault="00453183" w:rsidP="000671EF">
            <w:pPr>
              <w:pStyle w:val="Odstavecseseznamem"/>
              <w:numPr>
                <w:ilvl w:val="0"/>
                <w:numId w:val="15"/>
              </w:numPr>
              <w:spacing w:before="120" w:after="120"/>
              <w:rPr>
                <w:rFonts w:ascii="Arial" w:hAnsi="Arial" w:cs="Arial"/>
                <w:sz w:val="20"/>
                <w:szCs w:val="20"/>
              </w:rPr>
            </w:pPr>
            <w:hyperlink r:id="rId18" w:history="1">
              <w:r w:rsidR="000671EF" w:rsidRPr="005E4FBD">
                <w:rPr>
                  <w:rStyle w:val="Hypertextovodkaz"/>
                  <w:rFonts w:ascii="Arial" w:hAnsi="Arial" w:cs="Arial"/>
                  <w:sz w:val="20"/>
                  <w:szCs w:val="20"/>
                </w:rPr>
                <w:t>https://www.egap.cz/</w:t>
              </w:r>
            </w:hyperlink>
          </w:p>
        </w:tc>
      </w:tr>
      <w:tr w:rsidR="00C40C60" w:rsidRPr="00565B06" w14:paraId="34C0AA2E" w14:textId="77777777" w:rsidTr="001B7C16">
        <w:trPr>
          <w:trHeight w:val="590"/>
        </w:trPr>
        <w:tc>
          <w:tcPr>
            <w:tcW w:w="1917" w:type="dxa"/>
            <w:shd w:val="clear" w:color="auto" w:fill="auto"/>
          </w:tcPr>
          <w:p w14:paraId="29D8FD12" w14:textId="77777777" w:rsidR="00C40C60" w:rsidRPr="00641F62" w:rsidRDefault="00C40C60" w:rsidP="00C40C60">
            <w:pPr>
              <w:spacing w:before="120" w:after="120"/>
              <w:rPr>
                <w:rFonts w:ascii="Arial" w:hAnsi="Arial" w:cs="Arial"/>
                <w:b/>
                <w:sz w:val="20"/>
                <w:szCs w:val="20"/>
              </w:rPr>
            </w:pPr>
            <w:r w:rsidRPr="00641F62">
              <w:rPr>
                <w:rFonts w:ascii="Arial" w:hAnsi="Arial" w:cs="Arial"/>
                <w:b/>
                <w:sz w:val="20"/>
                <w:szCs w:val="20"/>
              </w:rPr>
              <w:t>Velký liberační balíček</w:t>
            </w:r>
          </w:p>
          <w:p w14:paraId="792F11F7" w14:textId="580A8D27" w:rsidR="00C40C60" w:rsidRPr="005E4FBD" w:rsidRDefault="00C40C60" w:rsidP="00C40C60">
            <w:pPr>
              <w:spacing w:before="120" w:after="120"/>
              <w:rPr>
                <w:rFonts w:ascii="Arial" w:hAnsi="Arial" w:cs="Arial"/>
                <w:b/>
                <w:sz w:val="20"/>
                <w:szCs w:val="20"/>
              </w:rPr>
            </w:pPr>
          </w:p>
        </w:tc>
        <w:tc>
          <w:tcPr>
            <w:tcW w:w="9560" w:type="dxa"/>
            <w:shd w:val="clear" w:color="auto" w:fill="auto"/>
          </w:tcPr>
          <w:p w14:paraId="516684AE" w14:textId="45763CA4" w:rsidR="00C40C60" w:rsidRDefault="00C40C60" w:rsidP="00C40C60">
            <w:pPr>
              <w:pStyle w:val="Odstavecseseznamem"/>
              <w:numPr>
                <w:ilvl w:val="0"/>
                <w:numId w:val="19"/>
              </w:numPr>
              <w:spacing w:before="120" w:after="120"/>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r w:rsidR="004E3C9B">
              <w:rPr>
                <w:rFonts w:ascii="Arial" w:hAnsi="Arial" w:cs="Arial"/>
                <w:sz w:val="20"/>
                <w:szCs w:val="20"/>
              </w:rPr>
              <w:t>.</w:t>
            </w:r>
          </w:p>
          <w:p w14:paraId="64FCD55C" w14:textId="77777777" w:rsidR="00C40C60" w:rsidRPr="00FB2CE1" w:rsidRDefault="00C40C60" w:rsidP="00FB2CE1">
            <w:pPr>
              <w:spacing w:before="120" w:after="120"/>
              <w:rPr>
                <w:rFonts w:ascii="Arial" w:hAnsi="Arial" w:cs="Arial"/>
                <w:b/>
                <w:bCs/>
                <w:sz w:val="20"/>
                <w:szCs w:val="20"/>
              </w:rPr>
            </w:pPr>
            <w:r w:rsidRPr="00FB2CE1">
              <w:rPr>
                <w:rFonts w:ascii="Arial" w:hAnsi="Arial" w:cs="Arial"/>
                <w:b/>
                <w:bCs/>
                <w:sz w:val="20"/>
                <w:szCs w:val="20"/>
              </w:rPr>
              <w:t>DPH</w:t>
            </w:r>
          </w:p>
          <w:p w14:paraId="52921592" w14:textId="77777777" w:rsidR="00C40C60" w:rsidRDefault="00C40C60" w:rsidP="00C40C60">
            <w:pPr>
              <w:pStyle w:val="Odstavecseseznamem"/>
              <w:numPr>
                <w:ilvl w:val="0"/>
                <w:numId w:val="19"/>
              </w:numPr>
              <w:spacing w:before="120" w:after="120" w:line="293" w:lineRule="auto"/>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49525223" w14:textId="77777777" w:rsidR="00C40C60" w:rsidRDefault="00C40C60" w:rsidP="00C40C60">
            <w:pPr>
              <w:pStyle w:val="Odstavecseseznamem"/>
              <w:numPr>
                <w:ilvl w:val="0"/>
                <w:numId w:val="19"/>
              </w:numPr>
              <w:spacing w:before="120" w:after="120" w:line="293" w:lineRule="auto"/>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7625E938" w14:textId="77777777" w:rsidR="00C40C60" w:rsidRDefault="00C40C60" w:rsidP="00C40C60">
            <w:pPr>
              <w:spacing w:before="120" w:after="120"/>
              <w:rPr>
                <w:rFonts w:ascii="Arial" w:hAnsi="Arial" w:cs="Arial"/>
                <w:b/>
                <w:bCs/>
                <w:sz w:val="20"/>
                <w:szCs w:val="20"/>
              </w:rPr>
            </w:pPr>
            <w:r w:rsidRPr="00FB2CE1">
              <w:rPr>
                <w:rFonts w:ascii="Arial" w:hAnsi="Arial" w:cs="Arial"/>
                <w:b/>
                <w:bCs/>
                <w:sz w:val="20"/>
                <w:szCs w:val="20"/>
              </w:rPr>
              <w:t>Daň z příjmu fyzických a právnických osob</w:t>
            </w:r>
          </w:p>
          <w:p w14:paraId="277107C0" w14:textId="77777777" w:rsidR="00C40C60" w:rsidRPr="00FB2CE1" w:rsidRDefault="00C40C60" w:rsidP="00C40C60">
            <w:pPr>
              <w:pStyle w:val="Odstavecseseznamem"/>
              <w:numPr>
                <w:ilvl w:val="0"/>
                <w:numId w:val="27"/>
              </w:numPr>
              <w:spacing w:after="160" w:line="293" w:lineRule="auto"/>
              <w:rPr>
                <w:color w:val="000000" w:themeColor="text1"/>
                <w:sz w:val="20"/>
                <w:szCs w:val="20"/>
              </w:rPr>
            </w:pPr>
            <w:r w:rsidRPr="00FB2CE1">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583A373B" w14:textId="3D65DDBF" w:rsidR="00FB2CE1" w:rsidRPr="00E37A51" w:rsidRDefault="00C40C60" w:rsidP="00E37A5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 xml:space="preserve">Prominutím zálohy na daň z příjmů nedochází k prominutí daně samotné. V rozsahu, v němž na poplatníky toto rozhodnutí nedopadá, nebo této možnosti nevyužijí, mohou ke zmírnění dopadů </w:t>
            </w:r>
            <w:r w:rsidRPr="00FB2CE1">
              <w:rPr>
                <w:rFonts w:ascii="Arial" w:hAnsi="Arial" w:cs="Arial"/>
                <w:sz w:val="20"/>
                <w:szCs w:val="20"/>
              </w:rPr>
              <w:lastRenderedPageBreak/>
              <w:t>přijímaných opatření využít ostatních institutů dle daňového řádu jako např. posečkání, individuální prominutí příslušenství daně, žádost o stanovení záloh jinak a další.</w:t>
            </w:r>
          </w:p>
          <w:p w14:paraId="467E5A4A" w14:textId="77777777" w:rsidR="00C40C60" w:rsidRPr="00FB2CE1" w:rsidRDefault="00C40C60" w:rsidP="00FB2CE1">
            <w:pPr>
              <w:spacing w:before="120" w:after="120"/>
              <w:rPr>
                <w:rFonts w:ascii="Arial" w:hAnsi="Arial" w:cs="Arial"/>
                <w:b/>
                <w:bCs/>
                <w:sz w:val="20"/>
                <w:szCs w:val="20"/>
              </w:rPr>
            </w:pPr>
            <w:r w:rsidRPr="00FB2CE1">
              <w:rPr>
                <w:rFonts w:ascii="Arial" w:hAnsi="Arial" w:cs="Arial"/>
                <w:b/>
                <w:bCs/>
                <w:sz w:val="20"/>
                <w:szCs w:val="20"/>
              </w:rPr>
              <w:t>Daň silniční</w:t>
            </w:r>
          </w:p>
          <w:p w14:paraId="4A2C8D57" w14:textId="350184DD" w:rsidR="00C40C60" w:rsidRPr="00E37A51" w:rsidRDefault="00C40C60" w:rsidP="00FB2CE1">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1DD11A62" w14:textId="60E75692" w:rsidR="00C40C60" w:rsidRPr="005E4FBD" w:rsidRDefault="00C40C60" w:rsidP="00C40C60">
            <w:pPr>
              <w:pStyle w:val="Odstavecseseznamem"/>
              <w:numPr>
                <w:ilvl w:val="0"/>
                <w:numId w:val="1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19" w:history="1">
              <w:r w:rsidRPr="00FB2CE1">
                <w:rPr>
                  <w:rStyle w:val="Hypertextovodkaz"/>
                  <w:rFonts w:ascii="Arial" w:hAnsi="Arial" w:cs="Arial"/>
                  <w:sz w:val="20"/>
                  <w:szCs w:val="20"/>
                </w:rPr>
                <w:t>Vzor oznámení</w:t>
              </w:r>
            </w:hyperlink>
            <w:r w:rsidRPr="00FB2CE1">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r w:rsidRPr="00FB2CE1" w:rsidDel="00ED5594">
              <w:rPr>
                <w:rFonts w:ascii="Arial" w:hAnsi="Arial" w:cs="Arial"/>
                <w:sz w:val="20"/>
                <w:szCs w:val="20"/>
              </w:rPr>
              <w:t xml:space="preserve">Podnikatelé, jejichž převažující činnost spadá do některého z oborů, na které explicitně míří vládní zákazy, mají nově automaticky </w:t>
            </w:r>
            <w:r w:rsidRPr="00FB2CE1" w:rsidDel="00ED5594">
              <w:rPr>
                <w:rFonts w:ascii="Arial" w:hAnsi="Arial" w:cs="Arial"/>
                <w:b/>
                <w:bCs/>
                <w:sz w:val="20"/>
                <w:szCs w:val="20"/>
              </w:rPr>
              <w:t>odloženy všechny úhrady DPH, daní z příjmů a silniční daně, k jejichž splatnosti došlo v období nouzového stavu</w:t>
            </w:r>
            <w:r w:rsidRPr="00FB2CE1" w:rsidDel="00ED5594">
              <w:rPr>
                <w:rFonts w:ascii="Arial" w:hAnsi="Arial" w:cs="Arial"/>
                <w:sz w:val="20"/>
                <w:szCs w:val="20"/>
              </w:rPr>
              <w:t xml:space="preserve">. Stačí, aby Finanční správě zaslali oznámení, že splňují podmínky generálního pardonu ministryně financí, a to i emailem </w:t>
            </w:r>
          </w:p>
        </w:tc>
        <w:tc>
          <w:tcPr>
            <w:tcW w:w="4536" w:type="dxa"/>
            <w:shd w:val="clear" w:color="auto" w:fill="auto"/>
          </w:tcPr>
          <w:p w14:paraId="2BDEECEB" w14:textId="77777777" w:rsidR="00C40C60" w:rsidRPr="00641F62" w:rsidRDefault="00C40C60" w:rsidP="00C40C60">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2233B6A9" w14:textId="77777777" w:rsidR="00C40C60" w:rsidRDefault="00453183" w:rsidP="00C40C60">
            <w:pPr>
              <w:spacing w:before="120" w:after="120"/>
              <w:rPr>
                <w:rFonts w:ascii="Arial" w:hAnsi="Arial" w:cs="Arial"/>
                <w:sz w:val="20"/>
                <w:szCs w:val="20"/>
              </w:rPr>
            </w:pPr>
            <w:hyperlink r:id="rId20" w:history="1">
              <w:r w:rsidR="00C40C60" w:rsidRPr="00FB2CE1">
                <w:rPr>
                  <w:rStyle w:val="Hypertextovodkaz"/>
                  <w:rFonts w:ascii="Arial" w:hAnsi="Arial" w:cs="Arial"/>
                  <w:sz w:val="20"/>
                  <w:szCs w:val="20"/>
                </w:rPr>
                <w:t>https://www.financnisprava.cz/cs/financni-sprava/media-a-verejnost/nouzovy-stav/danove-informace/info-pro-verejnost/Informace-FS-k-prominuti-dane-10969</w:t>
              </w:r>
            </w:hyperlink>
          </w:p>
          <w:p w14:paraId="34F32938" w14:textId="77777777" w:rsidR="00C40C60" w:rsidRPr="005D1431" w:rsidDel="005D1431" w:rsidRDefault="00453183" w:rsidP="00C40C60">
            <w:pPr>
              <w:spacing w:before="120" w:after="120"/>
              <w:rPr>
                <w:rFonts w:ascii="Arial" w:hAnsi="Arial" w:cs="Arial"/>
                <w:bCs/>
                <w:sz w:val="20"/>
                <w:szCs w:val="20"/>
              </w:rPr>
            </w:pPr>
            <w:hyperlink r:id="rId21" w:history="1">
              <w:r w:rsidR="00C40C60" w:rsidRPr="005D1431" w:rsidDel="005D1431">
                <w:rPr>
                  <w:rStyle w:val="Hypertextovodkaz"/>
                  <w:rFonts w:ascii="Arial" w:hAnsi="Arial" w:cs="Arial"/>
                  <w:bCs/>
                  <w:sz w:val="20"/>
                  <w:szCs w:val="20"/>
                </w:rPr>
                <w:t>https://www.mfcr.cz/cs/aktualne/tiskove-zpravy/2020/mf-pripravilo-velky-liberacni-balicek-39676</w:t>
              </w:r>
            </w:hyperlink>
          </w:p>
          <w:p w14:paraId="79EDD992" w14:textId="042271D3" w:rsidR="00C40C60" w:rsidRPr="005E4FBD" w:rsidRDefault="00C40C60" w:rsidP="00C40C60">
            <w:pPr>
              <w:spacing w:before="120" w:after="120"/>
              <w:rPr>
                <w:rFonts w:ascii="Arial" w:hAnsi="Arial" w:cs="Arial"/>
                <w:b/>
                <w:sz w:val="20"/>
                <w:szCs w:val="20"/>
              </w:rPr>
            </w:pPr>
          </w:p>
        </w:tc>
      </w:tr>
      <w:tr w:rsidR="0040144A" w:rsidRPr="00565B06" w14:paraId="2F788EEC" w14:textId="77777777" w:rsidTr="001B7C16">
        <w:trPr>
          <w:trHeight w:val="578"/>
        </w:trPr>
        <w:tc>
          <w:tcPr>
            <w:tcW w:w="1917" w:type="dxa"/>
            <w:shd w:val="clear" w:color="auto" w:fill="auto"/>
          </w:tcPr>
          <w:p w14:paraId="3295E64B" w14:textId="77777777" w:rsidR="0040144A" w:rsidRPr="00874FFD" w:rsidRDefault="0040144A" w:rsidP="0040144A">
            <w:pPr>
              <w:spacing w:before="120" w:after="120"/>
              <w:rPr>
                <w:rFonts w:ascii="Arial" w:hAnsi="Arial" w:cs="Arial"/>
                <w:b/>
                <w:sz w:val="20"/>
                <w:szCs w:val="20"/>
              </w:rPr>
            </w:pPr>
            <w:r w:rsidRPr="00874FFD">
              <w:rPr>
                <w:rFonts w:ascii="Arial" w:hAnsi="Arial" w:cs="Arial"/>
                <w:b/>
                <w:sz w:val="20"/>
                <w:szCs w:val="20"/>
              </w:rPr>
              <w:lastRenderedPageBreak/>
              <w:t>Program Antivirus</w:t>
            </w:r>
          </w:p>
          <w:p w14:paraId="3BB09B7F" w14:textId="77777777" w:rsidR="0040144A" w:rsidRPr="00874FFD" w:rsidRDefault="0040144A" w:rsidP="0040144A">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40144A" w:rsidRPr="00874FFD" w:rsidRDefault="0040144A" w:rsidP="0040144A">
            <w:pPr>
              <w:spacing w:before="120" w:after="120"/>
              <w:rPr>
                <w:rFonts w:ascii="Arial" w:hAnsi="Arial" w:cs="Arial"/>
                <w:b/>
                <w:sz w:val="20"/>
                <w:szCs w:val="20"/>
              </w:rPr>
            </w:pPr>
          </w:p>
          <w:p w14:paraId="139C7725" w14:textId="77777777" w:rsidR="0040144A" w:rsidRPr="00874FFD" w:rsidRDefault="0040144A" w:rsidP="0040144A">
            <w:pPr>
              <w:spacing w:before="120" w:after="120"/>
              <w:rPr>
                <w:rFonts w:ascii="Arial" w:hAnsi="Arial" w:cs="Arial"/>
                <w:b/>
                <w:sz w:val="20"/>
                <w:szCs w:val="20"/>
              </w:rPr>
            </w:pPr>
          </w:p>
          <w:p w14:paraId="74938B13" w14:textId="77777777" w:rsidR="0040144A" w:rsidRPr="00874FFD" w:rsidRDefault="0040144A" w:rsidP="0040144A">
            <w:pPr>
              <w:spacing w:before="120" w:after="120"/>
              <w:rPr>
                <w:rFonts w:ascii="Arial" w:hAnsi="Arial" w:cs="Arial"/>
                <w:b/>
                <w:sz w:val="20"/>
                <w:szCs w:val="20"/>
              </w:rPr>
            </w:pPr>
          </w:p>
          <w:p w14:paraId="5B4B4BED" w14:textId="77777777" w:rsidR="0040144A" w:rsidRPr="00874FFD" w:rsidRDefault="0040144A" w:rsidP="0040144A">
            <w:pPr>
              <w:spacing w:before="120" w:after="120"/>
              <w:rPr>
                <w:rFonts w:ascii="Arial" w:hAnsi="Arial" w:cs="Arial"/>
                <w:b/>
                <w:sz w:val="20"/>
                <w:szCs w:val="20"/>
              </w:rPr>
            </w:pPr>
          </w:p>
          <w:p w14:paraId="72ACBA9B" w14:textId="77777777" w:rsidR="0040144A" w:rsidRPr="00874FFD" w:rsidRDefault="0040144A" w:rsidP="0040144A">
            <w:pPr>
              <w:spacing w:before="120" w:after="120"/>
              <w:rPr>
                <w:rFonts w:ascii="Arial" w:hAnsi="Arial" w:cs="Arial"/>
                <w:b/>
                <w:sz w:val="20"/>
                <w:szCs w:val="20"/>
              </w:rPr>
            </w:pPr>
          </w:p>
          <w:p w14:paraId="677FC1A5" w14:textId="77777777" w:rsidR="0040144A" w:rsidRPr="00874FFD" w:rsidRDefault="0040144A" w:rsidP="0040144A">
            <w:pPr>
              <w:spacing w:before="120" w:after="120"/>
              <w:rPr>
                <w:rFonts w:ascii="Arial" w:hAnsi="Arial" w:cs="Arial"/>
                <w:b/>
                <w:sz w:val="20"/>
                <w:szCs w:val="20"/>
              </w:rPr>
            </w:pPr>
          </w:p>
          <w:p w14:paraId="2B34C22A" w14:textId="77777777" w:rsidR="0040144A" w:rsidRPr="00874FFD" w:rsidRDefault="0040144A" w:rsidP="0040144A">
            <w:pPr>
              <w:spacing w:before="120" w:after="120"/>
              <w:rPr>
                <w:rFonts w:ascii="Arial" w:hAnsi="Arial" w:cs="Arial"/>
                <w:b/>
                <w:sz w:val="20"/>
                <w:szCs w:val="20"/>
              </w:rPr>
            </w:pPr>
          </w:p>
          <w:p w14:paraId="22099C54" w14:textId="77777777" w:rsidR="0040144A" w:rsidRPr="00874FFD" w:rsidRDefault="0040144A" w:rsidP="0040144A">
            <w:pPr>
              <w:spacing w:before="120" w:after="120"/>
              <w:rPr>
                <w:rFonts w:ascii="Arial" w:hAnsi="Arial" w:cs="Arial"/>
                <w:b/>
                <w:sz w:val="20"/>
                <w:szCs w:val="20"/>
              </w:rPr>
            </w:pPr>
          </w:p>
          <w:p w14:paraId="65BEF889" w14:textId="77777777" w:rsidR="0040144A" w:rsidRPr="00874FFD" w:rsidRDefault="0040144A" w:rsidP="0040144A">
            <w:pPr>
              <w:spacing w:before="120" w:after="120"/>
              <w:rPr>
                <w:rFonts w:ascii="Arial" w:hAnsi="Arial" w:cs="Arial"/>
                <w:b/>
                <w:sz w:val="20"/>
                <w:szCs w:val="20"/>
              </w:rPr>
            </w:pPr>
          </w:p>
          <w:p w14:paraId="6A519E8C" w14:textId="77777777" w:rsidR="0040144A" w:rsidRPr="00874FFD" w:rsidRDefault="0040144A" w:rsidP="0040144A">
            <w:pPr>
              <w:spacing w:before="120" w:after="120"/>
              <w:rPr>
                <w:rFonts w:ascii="Arial" w:hAnsi="Arial" w:cs="Arial"/>
                <w:b/>
                <w:sz w:val="20"/>
                <w:szCs w:val="20"/>
              </w:rPr>
            </w:pPr>
          </w:p>
          <w:p w14:paraId="583C4796" w14:textId="77777777" w:rsidR="0040144A" w:rsidRPr="00874FFD" w:rsidRDefault="0040144A" w:rsidP="0040144A">
            <w:pPr>
              <w:spacing w:before="120" w:after="120"/>
              <w:rPr>
                <w:rFonts w:ascii="Arial" w:hAnsi="Arial" w:cs="Arial"/>
                <w:b/>
                <w:sz w:val="20"/>
                <w:szCs w:val="20"/>
              </w:rPr>
            </w:pPr>
          </w:p>
          <w:p w14:paraId="1B932075" w14:textId="77777777" w:rsidR="0040144A" w:rsidRPr="00874FFD" w:rsidRDefault="0040144A" w:rsidP="0040144A">
            <w:pPr>
              <w:spacing w:before="120" w:after="120"/>
              <w:rPr>
                <w:rFonts w:ascii="Arial" w:hAnsi="Arial" w:cs="Arial"/>
                <w:b/>
                <w:sz w:val="20"/>
                <w:szCs w:val="20"/>
              </w:rPr>
            </w:pPr>
          </w:p>
          <w:p w14:paraId="7650EF9C" w14:textId="77777777" w:rsidR="0040144A" w:rsidRPr="00874FFD" w:rsidRDefault="0040144A" w:rsidP="0040144A">
            <w:pPr>
              <w:spacing w:before="120" w:after="120"/>
              <w:rPr>
                <w:rFonts w:ascii="Arial" w:hAnsi="Arial" w:cs="Arial"/>
                <w:b/>
                <w:sz w:val="20"/>
                <w:szCs w:val="20"/>
              </w:rPr>
            </w:pPr>
          </w:p>
          <w:p w14:paraId="1A051BFA" w14:textId="77777777" w:rsidR="0040144A" w:rsidRPr="00874FFD" w:rsidRDefault="0040144A" w:rsidP="0040144A">
            <w:pPr>
              <w:spacing w:before="120" w:after="120"/>
              <w:rPr>
                <w:rFonts w:ascii="Arial" w:hAnsi="Arial" w:cs="Arial"/>
                <w:b/>
                <w:sz w:val="20"/>
                <w:szCs w:val="20"/>
              </w:rPr>
            </w:pPr>
          </w:p>
          <w:p w14:paraId="510EF34D" w14:textId="77777777" w:rsidR="0040144A" w:rsidRPr="00874FFD" w:rsidRDefault="0040144A" w:rsidP="0040144A">
            <w:pPr>
              <w:spacing w:before="120" w:after="120"/>
              <w:rPr>
                <w:rFonts w:ascii="Arial" w:hAnsi="Arial" w:cs="Arial"/>
                <w:b/>
                <w:sz w:val="20"/>
                <w:szCs w:val="20"/>
              </w:rPr>
            </w:pPr>
          </w:p>
          <w:p w14:paraId="4598B4A1" w14:textId="77777777" w:rsidR="0040144A" w:rsidRPr="00874FFD" w:rsidRDefault="0040144A" w:rsidP="0040144A">
            <w:pPr>
              <w:spacing w:before="120" w:after="120"/>
              <w:rPr>
                <w:rFonts w:ascii="Arial" w:hAnsi="Arial" w:cs="Arial"/>
                <w:b/>
                <w:sz w:val="20"/>
                <w:szCs w:val="20"/>
              </w:rPr>
            </w:pPr>
          </w:p>
          <w:p w14:paraId="0E564E4C" w14:textId="77777777" w:rsidR="0040144A" w:rsidRPr="00874FFD" w:rsidRDefault="0040144A" w:rsidP="0040144A">
            <w:pPr>
              <w:spacing w:before="120" w:after="120"/>
              <w:rPr>
                <w:rFonts w:ascii="Arial" w:hAnsi="Arial" w:cs="Arial"/>
                <w:b/>
                <w:sz w:val="20"/>
                <w:szCs w:val="20"/>
              </w:rPr>
            </w:pPr>
          </w:p>
          <w:p w14:paraId="200669DE" w14:textId="77777777" w:rsidR="0040144A" w:rsidRPr="00874FFD" w:rsidRDefault="0040144A" w:rsidP="0040144A">
            <w:pPr>
              <w:spacing w:before="120" w:after="120"/>
              <w:rPr>
                <w:rFonts w:ascii="Arial" w:hAnsi="Arial" w:cs="Arial"/>
                <w:b/>
                <w:sz w:val="20"/>
                <w:szCs w:val="20"/>
              </w:rPr>
            </w:pPr>
          </w:p>
          <w:p w14:paraId="31181C3A" w14:textId="77777777" w:rsidR="0040144A" w:rsidRPr="00874FFD" w:rsidRDefault="0040144A" w:rsidP="0040144A">
            <w:pPr>
              <w:spacing w:before="120" w:after="120"/>
              <w:rPr>
                <w:rFonts w:ascii="Arial" w:hAnsi="Arial" w:cs="Arial"/>
                <w:b/>
                <w:sz w:val="20"/>
                <w:szCs w:val="20"/>
              </w:rPr>
            </w:pPr>
          </w:p>
          <w:p w14:paraId="04FFA7DA" w14:textId="77777777" w:rsidR="0040144A" w:rsidRPr="00874FFD" w:rsidRDefault="0040144A" w:rsidP="0040144A">
            <w:pPr>
              <w:spacing w:before="120" w:after="120"/>
              <w:rPr>
                <w:rFonts w:ascii="Arial" w:hAnsi="Arial" w:cs="Arial"/>
                <w:b/>
                <w:sz w:val="20"/>
                <w:szCs w:val="20"/>
              </w:rPr>
            </w:pPr>
          </w:p>
          <w:p w14:paraId="5ED7144F" w14:textId="77777777" w:rsidR="0040144A" w:rsidRPr="00874FFD" w:rsidRDefault="0040144A" w:rsidP="0040144A">
            <w:pPr>
              <w:spacing w:before="120" w:after="120"/>
              <w:rPr>
                <w:rFonts w:ascii="Arial" w:hAnsi="Arial" w:cs="Arial"/>
                <w:b/>
                <w:sz w:val="20"/>
                <w:szCs w:val="20"/>
              </w:rPr>
            </w:pPr>
          </w:p>
          <w:p w14:paraId="1322EE9B" w14:textId="39133B40" w:rsidR="0040144A" w:rsidRPr="00874FFD" w:rsidRDefault="0040144A" w:rsidP="00FE18CE">
            <w:pPr>
              <w:spacing w:before="120" w:after="120"/>
              <w:rPr>
                <w:rFonts w:ascii="Arial" w:hAnsi="Arial" w:cs="Arial"/>
                <w:sz w:val="20"/>
                <w:szCs w:val="20"/>
              </w:rPr>
            </w:pPr>
          </w:p>
        </w:tc>
        <w:tc>
          <w:tcPr>
            <w:tcW w:w="9560" w:type="dxa"/>
            <w:shd w:val="clear" w:color="auto" w:fill="auto"/>
          </w:tcPr>
          <w:p w14:paraId="7979D575" w14:textId="77777777" w:rsidR="0040144A" w:rsidRPr="00137ABE" w:rsidRDefault="0040144A" w:rsidP="0040144A">
            <w:pPr>
              <w:pStyle w:val="Prosttext"/>
              <w:rPr>
                <w:rFonts w:ascii="Arial" w:hAnsi="Arial" w:cs="Arial"/>
                <w:b/>
                <w:sz w:val="20"/>
                <w:szCs w:val="20"/>
              </w:rPr>
            </w:pPr>
            <w:r w:rsidRPr="00137ABE">
              <w:rPr>
                <w:rFonts w:ascii="Arial" w:hAnsi="Arial" w:cs="Arial"/>
                <w:b/>
                <w:sz w:val="20"/>
                <w:szCs w:val="20"/>
              </w:rPr>
              <w:lastRenderedPageBreak/>
              <w:t xml:space="preserve">Režim A </w:t>
            </w:r>
          </w:p>
          <w:p w14:paraId="51FED553" w14:textId="77777777" w:rsidR="0040144A" w:rsidRPr="00137ABE" w:rsidRDefault="0040144A" w:rsidP="0040144A">
            <w:pPr>
              <w:pStyle w:val="Prosttext"/>
              <w:numPr>
                <w:ilvl w:val="0"/>
                <w:numId w:val="31"/>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do 31. 12. 2020</w:t>
            </w:r>
          </w:p>
          <w:p w14:paraId="384AB9AE" w14:textId="77777777" w:rsidR="0040144A" w:rsidRPr="00137ABE" w:rsidRDefault="0040144A" w:rsidP="0040144A">
            <w:pPr>
              <w:pStyle w:val="Prosttext"/>
              <w:numPr>
                <w:ilvl w:val="0"/>
                <w:numId w:val="31"/>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25C20A99" w14:textId="77777777" w:rsidR="0040144A" w:rsidRPr="00D918FC" w:rsidRDefault="0040144A" w:rsidP="0040144A">
            <w:pPr>
              <w:pStyle w:val="Prosttext"/>
              <w:numPr>
                <w:ilvl w:val="0"/>
                <w:numId w:val="31"/>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Pr="00137ABE">
              <w:rPr>
                <w:rFonts w:ascii="Arial" w:hAnsi="Arial" w:cs="Arial"/>
                <w:b/>
                <w:sz w:val="20"/>
                <w:szCs w:val="20"/>
              </w:rPr>
              <w:t xml:space="preserve">Antivirus A Plus. </w:t>
            </w:r>
          </w:p>
          <w:p w14:paraId="201D66E0" w14:textId="77777777" w:rsidR="0040144A" w:rsidRPr="00D918FC" w:rsidRDefault="0040144A" w:rsidP="0040144A">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23006A4E" w14:textId="77777777" w:rsidR="0040144A" w:rsidRPr="00D918FC" w:rsidRDefault="0040144A" w:rsidP="0040144A">
            <w:pPr>
              <w:pStyle w:val="Prosttext"/>
              <w:jc w:val="both"/>
              <w:rPr>
                <w:rFonts w:ascii="Arial" w:hAnsi="Arial" w:cs="Arial"/>
                <w:sz w:val="20"/>
                <w:szCs w:val="20"/>
              </w:rPr>
            </w:pPr>
            <w:r w:rsidRPr="00D918FC">
              <w:rPr>
                <w:rFonts w:ascii="Arial" w:hAnsi="Arial" w:cs="Arial"/>
                <w:sz w:val="20"/>
                <w:szCs w:val="20"/>
              </w:rPr>
              <w:t>Pro režim Antivirus Plus (Režim A Plus) budou platit některé dodatečné podmínky s ohledem na pravidla veřejné podpory, které se na Režim A a Režim B nevztahují. Pokud zaměstnavatel nebude moci z těchto důvodů žádat o příspěvek v rámci A Plus může nadále žádat i při uzavření provozu v Režimu A.</w:t>
            </w:r>
          </w:p>
          <w:p w14:paraId="61FAFE63" w14:textId="77777777" w:rsidR="0040144A" w:rsidRPr="00D918FC" w:rsidRDefault="0040144A" w:rsidP="0040144A">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Amtivirus Plus Nebude možné poskytnout zaměstnavateli, který obdržel veřejnou podporu poskytnutou podle bodu 3.1 Dočasného rámce v částce vyšší 800 000 Eur. </w:t>
            </w:r>
          </w:p>
          <w:p w14:paraId="74FE03D0" w14:textId="77777777" w:rsidR="0040144A" w:rsidRPr="00D918FC" w:rsidRDefault="0040144A" w:rsidP="0040144A">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4FE53953" w14:textId="77777777" w:rsidR="0040144A" w:rsidRPr="00D918FC" w:rsidRDefault="0040144A" w:rsidP="0040144A">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27D4FB3F" w14:textId="77777777" w:rsidR="0040144A" w:rsidRPr="00D918FC" w:rsidRDefault="0040144A" w:rsidP="0040144A">
            <w:pPr>
              <w:pStyle w:val="Prosttext"/>
              <w:jc w:val="both"/>
              <w:rPr>
                <w:rFonts w:ascii="Arial" w:hAnsi="Arial" w:cs="Arial"/>
                <w:sz w:val="20"/>
                <w:szCs w:val="20"/>
              </w:rPr>
            </w:pPr>
            <w:r>
              <w:rPr>
                <w:rFonts w:ascii="Arial" w:hAnsi="Arial" w:cs="Arial"/>
                <w:sz w:val="20"/>
                <w:szCs w:val="20"/>
              </w:rPr>
              <w:lastRenderedPageBreak/>
              <w:t>-</w:t>
            </w:r>
            <w:r w:rsidRPr="00D918FC">
              <w:rPr>
                <w:rFonts w:ascii="Arial" w:hAnsi="Arial" w:cs="Arial"/>
                <w:sz w:val="20"/>
                <w:szCs w:val="20"/>
              </w:rPr>
              <w:t>Příspěvek Antivirus Plus se bude započítávat do limitu 800 000 Eur</w:t>
            </w:r>
          </w:p>
          <w:p w14:paraId="30B76E6A" w14:textId="77777777" w:rsidR="0040144A" w:rsidRPr="00D918FC" w:rsidRDefault="0040144A" w:rsidP="0040144A">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081399C6" w14:textId="77777777" w:rsidR="0040144A" w:rsidRPr="00D918FC" w:rsidRDefault="0040144A" w:rsidP="0040144A">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72FEFC6C" w14:textId="77777777" w:rsidR="0040144A" w:rsidRPr="00D918FC" w:rsidRDefault="0040144A" w:rsidP="0040144A">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B269D9E" w14:textId="77777777" w:rsidR="0040144A" w:rsidRPr="00D918FC" w:rsidRDefault="0040144A" w:rsidP="0040144A">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53797CE8" w14:textId="77777777" w:rsidR="0040144A" w:rsidRPr="00137ABE" w:rsidRDefault="0040144A" w:rsidP="0040144A">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76B9A732" w14:textId="77777777" w:rsidR="0040144A" w:rsidRPr="00137ABE" w:rsidRDefault="0040144A" w:rsidP="0040144A">
            <w:pPr>
              <w:spacing w:line="288" w:lineRule="auto"/>
              <w:jc w:val="both"/>
              <w:rPr>
                <w:rFonts w:ascii="Arial" w:hAnsi="Arial" w:cs="Arial"/>
                <w:i/>
                <w:sz w:val="20"/>
                <w:szCs w:val="20"/>
              </w:rPr>
            </w:pPr>
          </w:p>
          <w:p w14:paraId="4B501DFA" w14:textId="77777777" w:rsidR="0040144A" w:rsidRPr="00137ABE" w:rsidRDefault="0040144A" w:rsidP="0040144A">
            <w:pPr>
              <w:spacing w:line="288" w:lineRule="auto"/>
              <w:jc w:val="both"/>
              <w:rPr>
                <w:rFonts w:ascii="Arial" w:hAnsi="Arial" w:cs="Arial"/>
                <w:b/>
                <w:sz w:val="20"/>
                <w:szCs w:val="20"/>
              </w:rPr>
            </w:pPr>
            <w:r w:rsidRPr="00137ABE">
              <w:rPr>
                <w:rFonts w:ascii="Arial" w:hAnsi="Arial" w:cs="Arial"/>
                <w:b/>
                <w:sz w:val="20"/>
                <w:szCs w:val="20"/>
              </w:rPr>
              <w:t>Režim B</w:t>
            </w:r>
          </w:p>
          <w:p w14:paraId="5B9AE08D" w14:textId="77777777" w:rsidR="0040144A" w:rsidRPr="00137ABE" w:rsidRDefault="0040144A" w:rsidP="0040144A">
            <w:pPr>
              <w:pStyle w:val="Prosttext"/>
              <w:numPr>
                <w:ilvl w:val="0"/>
                <w:numId w:val="31"/>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do 31. 12. 2020</w:t>
            </w:r>
          </w:p>
          <w:p w14:paraId="5DD182C1" w14:textId="6B2F7206" w:rsidR="0040144A" w:rsidRPr="00874FFD" w:rsidRDefault="0040144A" w:rsidP="0040144A">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4536" w:type="dxa"/>
            <w:shd w:val="clear" w:color="auto" w:fill="auto"/>
          </w:tcPr>
          <w:p w14:paraId="54A17A68" w14:textId="5716F91E" w:rsidR="0040144A" w:rsidRPr="00874FFD" w:rsidRDefault="0040144A" w:rsidP="0040144A">
            <w:pPr>
              <w:spacing w:before="120" w:after="120"/>
              <w:rPr>
                <w:rFonts w:ascii="Arial" w:hAnsi="Arial" w:cs="Arial"/>
                <w:sz w:val="20"/>
                <w:szCs w:val="20"/>
              </w:rPr>
            </w:pPr>
            <w:r w:rsidRPr="00874FFD">
              <w:rPr>
                <w:rFonts w:ascii="Arial" w:hAnsi="Arial" w:cs="Arial"/>
                <w:sz w:val="20"/>
                <w:szCs w:val="20"/>
              </w:rPr>
              <w:lastRenderedPageBreak/>
              <w:t>Ministerstv</w:t>
            </w:r>
            <w:r w:rsidR="00E46594">
              <w:rPr>
                <w:rFonts w:ascii="Arial" w:hAnsi="Arial" w:cs="Arial"/>
                <w:sz w:val="20"/>
                <w:szCs w:val="20"/>
              </w:rPr>
              <w:t>o</w:t>
            </w:r>
            <w:r w:rsidRPr="00874FFD">
              <w:rPr>
                <w:rFonts w:ascii="Arial" w:hAnsi="Arial" w:cs="Arial"/>
                <w:sz w:val="20"/>
                <w:szCs w:val="20"/>
              </w:rPr>
              <w:t xml:space="preserve"> práce a sociálních věcí:</w:t>
            </w:r>
          </w:p>
          <w:p w14:paraId="51E1B8EE" w14:textId="77777777" w:rsidR="0040144A" w:rsidRPr="00874FFD" w:rsidRDefault="00453183" w:rsidP="0040144A">
            <w:pPr>
              <w:spacing w:before="120" w:after="120"/>
              <w:rPr>
                <w:rFonts w:ascii="Arial" w:hAnsi="Arial" w:cs="Arial"/>
                <w:sz w:val="20"/>
                <w:szCs w:val="20"/>
              </w:rPr>
            </w:pPr>
            <w:hyperlink r:id="rId22" w:history="1">
              <w:r w:rsidR="0040144A" w:rsidRPr="00874FFD">
                <w:rPr>
                  <w:rStyle w:val="Hypertextovodkaz"/>
                  <w:rFonts w:ascii="Arial" w:hAnsi="Arial" w:cs="Arial"/>
                  <w:sz w:val="20"/>
                  <w:szCs w:val="20"/>
                </w:rPr>
                <w:t>https://www.mpsv.cz/antivirus</w:t>
              </w:r>
            </w:hyperlink>
          </w:p>
          <w:p w14:paraId="05733302" w14:textId="2C9C5C49" w:rsidR="0040144A" w:rsidRPr="00874FFD" w:rsidRDefault="0040144A" w:rsidP="0040144A">
            <w:pPr>
              <w:spacing w:before="120" w:after="120"/>
              <w:rPr>
                <w:rFonts w:ascii="Arial" w:hAnsi="Arial" w:cs="Arial"/>
                <w:sz w:val="20"/>
                <w:szCs w:val="20"/>
              </w:rPr>
            </w:pPr>
          </w:p>
        </w:tc>
      </w:tr>
      <w:tr w:rsidR="0040144A" w:rsidRPr="00565B06" w14:paraId="7557BF86" w14:textId="77777777" w:rsidTr="001B7C16">
        <w:trPr>
          <w:trHeight w:val="578"/>
        </w:trPr>
        <w:tc>
          <w:tcPr>
            <w:tcW w:w="1917" w:type="dxa"/>
            <w:shd w:val="clear" w:color="auto" w:fill="auto"/>
          </w:tcPr>
          <w:p w14:paraId="6F5207A6" w14:textId="77777777" w:rsidR="0040144A" w:rsidRDefault="0040144A" w:rsidP="0040144A">
            <w:pPr>
              <w:spacing w:before="120" w:after="120"/>
              <w:rPr>
                <w:rFonts w:ascii="Arial" w:hAnsi="Arial" w:cs="Arial"/>
                <w:b/>
                <w:sz w:val="20"/>
                <w:szCs w:val="20"/>
              </w:rPr>
            </w:pPr>
            <w:r w:rsidRPr="00C31633">
              <w:rPr>
                <w:rFonts w:ascii="Arial" w:hAnsi="Arial" w:cs="Arial"/>
                <w:b/>
                <w:sz w:val="20"/>
                <w:szCs w:val="20"/>
              </w:rPr>
              <w:t>Odložení splatnosti a snížení pojistného na sociální zabezpečení a příspěvku na státní politiku zaměstnanosti placeného zaměstnavateli jako poplatníky</w:t>
            </w:r>
          </w:p>
          <w:p w14:paraId="7C92C22A" w14:textId="111E4662" w:rsidR="0040144A" w:rsidRPr="00C31633" w:rsidRDefault="0040144A" w:rsidP="0040144A">
            <w:pPr>
              <w:spacing w:before="120" w:after="120"/>
              <w:rPr>
                <w:rFonts w:ascii="Arial" w:hAnsi="Arial" w:cs="Arial"/>
                <w:b/>
                <w:sz w:val="20"/>
                <w:szCs w:val="20"/>
              </w:rPr>
            </w:pPr>
          </w:p>
        </w:tc>
        <w:tc>
          <w:tcPr>
            <w:tcW w:w="9560" w:type="dxa"/>
            <w:shd w:val="clear" w:color="auto" w:fill="auto"/>
          </w:tcPr>
          <w:p w14:paraId="476EA3A6"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Možnost zaměstnavatele odložit platbu sociálního pojistného za zaměstnavatele za měsíce květen, červen a červenec 2020, k doplacení dlužného pojistného dojde ve stanovené lhůtě (až 20. října).</w:t>
            </w:r>
          </w:p>
          <w:p w14:paraId="7A8902D3"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Po splnění podmínky zaplacení bude automaticky sníženo penále z opožděné úhrady pojistného o 80 % (výsledný úrok tedy cca 4 % p. a.).</w:t>
            </w:r>
          </w:p>
          <w:p w14:paraId="753E4B97"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 xml:space="preserve">Snížené penále bude vypočteno pouze od termínu splatnosti pojistného do termínu úhrady. </w:t>
            </w:r>
          </w:p>
          <w:p w14:paraId="71E6D245"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 xml:space="preserve">V případě neuhrazení v termínu nabíhá běžné penále za dané období, tzn. 0,05 % za každý kalendářní den zpoždění. </w:t>
            </w:r>
          </w:p>
          <w:p w14:paraId="3F1D88FE"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Zaměstnavatel o odložení nežádá, nabíhá automaticky předložením měsíčního přeh</w:t>
            </w:r>
            <w:r>
              <w:rPr>
                <w:rFonts w:ascii="Arial" w:hAnsi="Arial" w:cs="Arial"/>
                <w:sz w:val="20"/>
                <w:szCs w:val="20"/>
              </w:rPr>
              <w:t>ledu platby pojistného a jeho ne</w:t>
            </w:r>
            <w:r w:rsidRPr="00C31633">
              <w:rPr>
                <w:rFonts w:ascii="Arial" w:hAnsi="Arial" w:cs="Arial"/>
                <w:sz w:val="20"/>
                <w:szCs w:val="20"/>
              </w:rPr>
              <w:t xml:space="preserve">úhradou. </w:t>
            </w:r>
          </w:p>
          <w:p w14:paraId="6B1D4FB6" w14:textId="77777777"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Současně bude zavedena povinnost podávat měsíční přehledy o výši pojistného zaměstnavatelů pouze elektronicky a bude zrušeno pro všechny možnost hradit pojistné v hotovosti na pokladně OSSZ.</w:t>
            </w:r>
          </w:p>
          <w:p w14:paraId="18D4CDB6" w14:textId="5E87F858" w:rsidR="0040144A" w:rsidRPr="00C31633" w:rsidRDefault="0040144A" w:rsidP="0040144A">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Odvod sociálního pojištění za zaměstnance odváděné zaměstnavatelem stále trvá.</w:t>
            </w:r>
          </w:p>
        </w:tc>
        <w:tc>
          <w:tcPr>
            <w:tcW w:w="4536" w:type="dxa"/>
            <w:shd w:val="clear" w:color="auto" w:fill="auto"/>
          </w:tcPr>
          <w:p w14:paraId="36E4748B" w14:textId="7649376B" w:rsidR="0040144A" w:rsidRPr="001B7C16" w:rsidRDefault="0040144A" w:rsidP="0040144A">
            <w:pPr>
              <w:spacing w:before="120" w:after="120"/>
              <w:rPr>
                <w:rFonts w:ascii="Arial" w:hAnsi="Arial" w:cs="Arial"/>
                <w:sz w:val="20"/>
                <w:szCs w:val="20"/>
              </w:rPr>
            </w:pPr>
            <w:r w:rsidRPr="001B7C16">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40144A" w:rsidRPr="00565B06" w14:paraId="723CF875" w14:textId="77777777" w:rsidTr="001B7C16">
        <w:trPr>
          <w:trHeight w:val="578"/>
        </w:trPr>
        <w:tc>
          <w:tcPr>
            <w:tcW w:w="1917" w:type="dxa"/>
            <w:shd w:val="clear" w:color="auto" w:fill="auto"/>
          </w:tcPr>
          <w:p w14:paraId="2DF2BE83" w14:textId="77777777" w:rsidR="0040144A" w:rsidRDefault="0040144A" w:rsidP="0040144A">
            <w:pPr>
              <w:spacing w:before="120" w:after="120"/>
              <w:rPr>
                <w:rFonts w:ascii="Arial" w:hAnsi="Arial" w:cs="Arial"/>
                <w:b/>
                <w:sz w:val="20"/>
                <w:szCs w:val="20"/>
              </w:rPr>
            </w:pPr>
            <w:r w:rsidRPr="00DA20CB">
              <w:rPr>
                <w:rFonts w:ascii="Arial" w:hAnsi="Arial" w:cs="Arial"/>
                <w:b/>
                <w:sz w:val="20"/>
                <w:szCs w:val="20"/>
              </w:rPr>
              <w:lastRenderedPageBreak/>
              <w:t>Odložení splátek nájmu nebo podnájmu za prostory sloužící podnikání, zákaz výpovědi</w:t>
            </w:r>
          </w:p>
          <w:p w14:paraId="4C7E33C5" w14:textId="6AE58DB8" w:rsidR="0040144A" w:rsidRPr="00DA20CB" w:rsidRDefault="0040144A" w:rsidP="0040144A">
            <w:pPr>
              <w:spacing w:before="120" w:after="120"/>
              <w:rPr>
                <w:rFonts w:ascii="Arial" w:hAnsi="Arial" w:cs="Arial"/>
                <w:b/>
                <w:sz w:val="20"/>
                <w:szCs w:val="20"/>
              </w:rPr>
            </w:pPr>
          </w:p>
        </w:tc>
        <w:tc>
          <w:tcPr>
            <w:tcW w:w="9560" w:type="dxa"/>
            <w:shd w:val="clear" w:color="auto" w:fill="auto"/>
          </w:tcPr>
          <w:p w14:paraId="422B49DF" w14:textId="77777777" w:rsidR="0040144A" w:rsidRDefault="0040144A" w:rsidP="0040144A">
            <w:pPr>
              <w:pStyle w:val="Odstavecseseznamem"/>
              <w:numPr>
                <w:ilvl w:val="0"/>
                <w:numId w:val="11"/>
              </w:numPr>
              <w:spacing w:before="120" w:after="120"/>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0EB64EA9" w14:textId="11BDCBCD" w:rsidR="0040144A" w:rsidRPr="00D91BD4" w:rsidRDefault="0040144A" w:rsidP="0040144A">
            <w:pPr>
              <w:pStyle w:val="Odstavecseseznamem"/>
              <w:numPr>
                <w:ilvl w:val="0"/>
                <w:numId w:val="11"/>
              </w:numPr>
              <w:spacing w:before="120" w:after="120"/>
              <w:rPr>
                <w:rFonts w:ascii="Arial" w:hAnsi="Arial" w:cs="Arial"/>
                <w:sz w:val="20"/>
                <w:szCs w:val="20"/>
              </w:rPr>
            </w:pPr>
            <w:r>
              <w:rPr>
                <w:rFonts w:ascii="Arial" w:hAnsi="Arial" w:cs="Arial"/>
                <w:sz w:val="20"/>
                <w:szCs w:val="20"/>
              </w:rPr>
              <w:t>n</w:t>
            </w:r>
            <w:r w:rsidRPr="00F03004">
              <w:rPr>
                <w:rFonts w:ascii="Arial" w:hAnsi="Arial" w:cs="Arial"/>
                <w:sz w:val="20"/>
                <w:szCs w:val="20"/>
              </w:rPr>
              <w:t>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4536" w:type="dxa"/>
            <w:shd w:val="clear" w:color="auto" w:fill="auto"/>
          </w:tcPr>
          <w:p w14:paraId="02F453BC" w14:textId="70AABC31" w:rsidR="0040144A" w:rsidRPr="001B7C16" w:rsidRDefault="0040144A" w:rsidP="0040144A">
            <w:pPr>
              <w:spacing w:before="120" w:after="120"/>
              <w:rPr>
                <w:rFonts w:ascii="Arial" w:hAnsi="Arial" w:cs="Arial"/>
                <w:sz w:val="20"/>
                <w:szCs w:val="20"/>
              </w:rPr>
            </w:pPr>
            <w:r w:rsidRPr="001B7C16">
              <w:rPr>
                <w:rFonts w:ascii="Arial" w:hAnsi="Arial" w:cs="Arial"/>
                <w:sz w:val="20"/>
                <w:szCs w:val="20"/>
              </w:rPr>
              <w:t>Zákon č. 210/2020 Sb. o některých opatřeních ke zmírnění dopadů epidemie koronaviru SARS CoV-2 na nájemce prostor sloužících podnikání</w:t>
            </w:r>
          </w:p>
        </w:tc>
      </w:tr>
      <w:tr w:rsidR="0040144A" w:rsidRPr="00565B06" w14:paraId="09E9B7B1" w14:textId="77777777" w:rsidTr="001B7C16">
        <w:trPr>
          <w:trHeight w:val="578"/>
        </w:trPr>
        <w:tc>
          <w:tcPr>
            <w:tcW w:w="1917" w:type="dxa"/>
            <w:shd w:val="clear" w:color="auto" w:fill="auto"/>
          </w:tcPr>
          <w:p w14:paraId="765B508A" w14:textId="77777777" w:rsidR="0040144A" w:rsidRDefault="0040144A" w:rsidP="0040144A">
            <w:pPr>
              <w:spacing w:before="120" w:after="120"/>
              <w:rPr>
                <w:rFonts w:ascii="Arial" w:hAnsi="Arial" w:cs="Arial"/>
                <w:b/>
                <w:sz w:val="20"/>
                <w:szCs w:val="20"/>
              </w:rPr>
            </w:pPr>
            <w:r>
              <w:rPr>
                <w:rFonts w:ascii="Arial" w:hAnsi="Arial" w:cs="Arial"/>
                <w:b/>
                <w:sz w:val="20"/>
                <w:szCs w:val="20"/>
              </w:rPr>
              <w:t>Zrušení daně z nabytí nemovitých věcí</w:t>
            </w:r>
          </w:p>
          <w:p w14:paraId="282DBFE9" w14:textId="3022603A" w:rsidR="0040144A" w:rsidRDefault="0040144A" w:rsidP="0040144A">
            <w:pPr>
              <w:spacing w:before="120" w:after="120"/>
              <w:rPr>
                <w:rFonts w:ascii="Arial" w:hAnsi="Arial" w:cs="Arial"/>
                <w:b/>
                <w:sz w:val="20"/>
                <w:szCs w:val="20"/>
              </w:rPr>
            </w:pPr>
          </w:p>
        </w:tc>
        <w:tc>
          <w:tcPr>
            <w:tcW w:w="9560" w:type="dxa"/>
            <w:shd w:val="clear" w:color="auto" w:fill="auto"/>
          </w:tcPr>
          <w:p w14:paraId="7E281832" w14:textId="54AFA60C" w:rsidR="0040144A" w:rsidRPr="00F861F7" w:rsidRDefault="0040144A" w:rsidP="0040144A">
            <w:pPr>
              <w:pStyle w:val="Odstavecseseznamem"/>
              <w:numPr>
                <w:ilvl w:val="0"/>
                <w:numId w:val="11"/>
              </w:numPr>
              <w:spacing w:before="120" w:after="120"/>
              <w:rPr>
                <w:rFonts w:ascii="Arial" w:hAnsi="Arial" w:cs="Arial"/>
                <w:sz w:val="20"/>
                <w:szCs w:val="20"/>
              </w:rPr>
            </w:pPr>
            <w:r w:rsidRPr="00F861F7">
              <w:rPr>
                <w:rFonts w:ascii="Arial" w:hAnsi="Arial" w:cs="Arial"/>
                <w:color w:val="000000" w:themeColor="text1"/>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4536" w:type="dxa"/>
            <w:shd w:val="clear" w:color="auto" w:fill="auto"/>
          </w:tcPr>
          <w:p w14:paraId="63352C19" w14:textId="77777777" w:rsidR="0040144A" w:rsidRPr="00097340" w:rsidRDefault="0040144A" w:rsidP="0040144A">
            <w:pPr>
              <w:spacing w:before="120" w:after="120"/>
              <w:rPr>
                <w:rFonts w:ascii="Arial" w:hAnsi="Arial" w:cs="Arial"/>
                <w:sz w:val="20"/>
                <w:szCs w:val="20"/>
              </w:rPr>
            </w:pPr>
          </w:p>
        </w:tc>
      </w:tr>
      <w:tr w:rsidR="0040144A" w:rsidRPr="00565B06" w14:paraId="500A2FAE" w14:textId="77777777" w:rsidTr="001B7C16">
        <w:trPr>
          <w:trHeight w:val="578"/>
        </w:trPr>
        <w:tc>
          <w:tcPr>
            <w:tcW w:w="1917" w:type="dxa"/>
            <w:shd w:val="clear" w:color="auto" w:fill="auto"/>
          </w:tcPr>
          <w:p w14:paraId="70DA9AF5" w14:textId="77777777" w:rsidR="0040144A" w:rsidRDefault="0040144A" w:rsidP="0040144A">
            <w:pPr>
              <w:spacing w:before="120" w:after="120"/>
              <w:rPr>
                <w:rFonts w:ascii="Arial" w:hAnsi="Arial" w:cs="Arial"/>
                <w:b/>
                <w:sz w:val="20"/>
                <w:szCs w:val="20"/>
              </w:rPr>
            </w:pPr>
            <w:r>
              <w:rPr>
                <w:rFonts w:ascii="Arial" w:hAnsi="Arial" w:cs="Arial"/>
                <w:b/>
                <w:sz w:val="20"/>
                <w:szCs w:val="20"/>
              </w:rPr>
              <w:t>Posečkání úhrady daně</w:t>
            </w:r>
          </w:p>
          <w:p w14:paraId="0D77A52A" w14:textId="4CE2EBFF" w:rsidR="0040144A" w:rsidRPr="00327DF3" w:rsidRDefault="0040144A" w:rsidP="0040144A">
            <w:pPr>
              <w:rPr>
                <w:rFonts w:ascii="Arial" w:hAnsi="Arial" w:cs="Arial"/>
                <w:sz w:val="20"/>
                <w:szCs w:val="20"/>
              </w:rPr>
            </w:pPr>
          </w:p>
        </w:tc>
        <w:tc>
          <w:tcPr>
            <w:tcW w:w="9560" w:type="dxa"/>
            <w:shd w:val="clear" w:color="auto" w:fill="auto"/>
          </w:tcPr>
          <w:p w14:paraId="4207EEFC" w14:textId="150E0C5F" w:rsidR="0040144A" w:rsidRDefault="0040144A" w:rsidP="0040144A">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40144A" w:rsidRPr="00947E0B" w:rsidRDefault="0040144A" w:rsidP="0040144A">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40144A" w:rsidRPr="00947E0B" w:rsidRDefault="0040144A" w:rsidP="0040144A">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40144A" w:rsidRPr="00947E0B" w:rsidRDefault="0040144A" w:rsidP="0040144A">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40144A" w:rsidRPr="00947E0B" w:rsidRDefault="0040144A" w:rsidP="0040144A">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40144A" w:rsidRPr="00947E0B" w:rsidRDefault="0040144A" w:rsidP="0040144A">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40144A" w:rsidRPr="00947E0B" w:rsidRDefault="0040144A" w:rsidP="0040144A">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 xml:space="preserve">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w:t>
            </w:r>
            <w:r w:rsidRPr="00947E0B">
              <w:rPr>
                <w:rFonts w:ascii="Arial" w:hAnsi="Arial" w:cs="Arial"/>
                <w:sz w:val="20"/>
                <w:szCs w:val="20"/>
              </w:rPr>
              <w:lastRenderedPageBreak/>
              <w:t>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40144A" w:rsidRPr="001B7C16" w:rsidRDefault="0040144A" w:rsidP="0040144A">
            <w:pPr>
              <w:spacing w:before="120" w:after="120"/>
              <w:rPr>
                <w:rFonts w:ascii="Arial" w:hAnsi="Arial" w:cs="Arial"/>
                <w:sz w:val="20"/>
                <w:szCs w:val="20"/>
              </w:rPr>
            </w:pPr>
            <w:r w:rsidRPr="001B7C16">
              <w:rPr>
                <w:rFonts w:ascii="Arial" w:hAnsi="Arial" w:cs="Arial"/>
                <w:sz w:val="20"/>
                <w:szCs w:val="20"/>
              </w:rPr>
              <w:lastRenderedPageBreak/>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9AC6" w14:textId="77777777" w:rsidR="00453183" w:rsidRDefault="00453183" w:rsidP="00677FE0">
      <w:r>
        <w:separator/>
      </w:r>
    </w:p>
  </w:endnote>
  <w:endnote w:type="continuationSeparator" w:id="0">
    <w:p w14:paraId="7282F5D7" w14:textId="77777777" w:rsidR="00453183" w:rsidRDefault="00453183"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CC07" w14:textId="77777777" w:rsidR="00453183" w:rsidRDefault="00453183" w:rsidP="00677FE0">
      <w:r>
        <w:separator/>
      </w:r>
    </w:p>
  </w:footnote>
  <w:footnote w:type="continuationSeparator" w:id="0">
    <w:p w14:paraId="6F6F4EFC" w14:textId="77777777" w:rsidR="00453183" w:rsidRDefault="00453183"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82A50EB"/>
    <w:multiLevelType w:val="multilevel"/>
    <w:tmpl w:val="407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2DA"/>
    <w:multiLevelType w:val="multilevel"/>
    <w:tmpl w:val="E8A48D7C"/>
    <w:numStyleLink w:val="VariantaA-sla"/>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4602F"/>
    <w:multiLevelType w:val="multilevel"/>
    <w:tmpl w:val="551E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5F1846"/>
    <w:multiLevelType w:val="multilevel"/>
    <w:tmpl w:val="F33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6ECE"/>
    <w:multiLevelType w:val="hybridMultilevel"/>
    <w:tmpl w:val="DD8CDBBA"/>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1"/>
  </w:num>
  <w:num w:numId="7">
    <w:abstractNumId w:val="8"/>
  </w:num>
  <w:num w:numId="8">
    <w:abstractNumId w:val="5"/>
  </w:num>
  <w:num w:numId="9">
    <w:abstractNumId w:val="25"/>
  </w:num>
  <w:num w:numId="10">
    <w:abstractNumId w:val="16"/>
  </w:num>
  <w:num w:numId="11">
    <w:abstractNumId w:val="12"/>
  </w:num>
  <w:num w:numId="12">
    <w:abstractNumId w:val="10"/>
  </w:num>
  <w:num w:numId="13">
    <w:abstractNumId w:val="0"/>
  </w:num>
  <w:num w:numId="14">
    <w:abstractNumId w:val="9"/>
  </w:num>
  <w:num w:numId="15">
    <w:abstractNumId w:val="13"/>
  </w:num>
  <w:num w:numId="16">
    <w:abstractNumId w:val="15"/>
  </w:num>
  <w:num w:numId="17">
    <w:abstractNumId w:val="3"/>
  </w:num>
  <w:num w:numId="18">
    <w:abstractNumId w:val="29"/>
  </w:num>
  <w:num w:numId="19">
    <w:abstractNumId w:val="28"/>
  </w:num>
  <w:num w:numId="20">
    <w:abstractNumId w:val="23"/>
  </w:num>
  <w:num w:numId="21">
    <w:abstractNumId w:val="4"/>
  </w:num>
  <w:num w:numId="22">
    <w:abstractNumId w:val="27"/>
  </w:num>
  <w:num w:numId="23">
    <w:abstractNumId w:val="30"/>
  </w:num>
  <w:num w:numId="24">
    <w:abstractNumId w:val="26"/>
  </w:num>
  <w:num w:numId="25">
    <w:abstractNumId w:val="7"/>
  </w:num>
  <w:num w:numId="26">
    <w:abstractNumId w:val="22"/>
  </w:num>
  <w:num w:numId="27">
    <w:abstractNumId w:val="17"/>
  </w:num>
  <w:num w:numId="28">
    <w:abstractNumId w:val="2"/>
  </w:num>
  <w:num w:numId="29">
    <w:abstractNumId w:val="24"/>
  </w:num>
  <w:num w:numId="30">
    <w:abstractNumId w:val="14"/>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5306"/>
    <w:rsid w:val="0002674B"/>
    <w:rsid w:val="0003456E"/>
    <w:rsid w:val="00037DB3"/>
    <w:rsid w:val="0004162E"/>
    <w:rsid w:val="0004786B"/>
    <w:rsid w:val="00063405"/>
    <w:rsid w:val="000671EF"/>
    <w:rsid w:val="00074C0D"/>
    <w:rsid w:val="00076078"/>
    <w:rsid w:val="000777F8"/>
    <w:rsid w:val="000809B9"/>
    <w:rsid w:val="00085893"/>
    <w:rsid w:val="00090B40"/>
    <w:rsid w:val="00095A0A"/>
    <w:rsid w:val="00097340"/>
    <w:rsid w:val="000B1B3D"/>
    <w:rsid w:val="000B42E2"/>
    <w:rsid w:val="000C1B80"/>
    <w:rsid w:val="000C422D"/>
    <w:rsid w:val="000C4CAF"/>
    <w:rsid w:val="000D44AF"/>
    <w:rsid w:val="000D4733"/>
    <w:rsid w:val="000D61D0"/>
    <w:rsid w:val="000D6DF9"/>
    <w:rsid w:val="000E1479"/>
    <w:rsid w:val="000F138D"/>
    <w:rsid w:val="00102229"/>
    <w:rsid w:val="00105482"/>
    <w:rsid w:val="0011745A"/>
    <w:rsid w:val="00121485"/>
    <w:rsid w:val="001268B0"/>
    <w:rsid w:val="00135A92"/>
    <w:rsid w:val="00140302"/>
    <w:rsid w:val="00147537"/>
    <w:rsid w:val="001516F3"/>
    <w:rsid w:val="00151F47"/>
    <w:rsid w:val="001536E8"/>
    <w:rsid w:val="00164D3D"/>
    <w:rsid w:val="0017051C"/>
    <w:rsid w:val="0018051B"/>
    <w:rsid w:val="00183806"/>
    <w:rsid w:val="00185261"/>
    <w:rsid w:val="00186A79"/>
    <w:rsid w:val="00197C04"/>
    <w:rsid w:val="001A1312"/>
    <w:rsid w:val="001A263F"/>
    <w:rsid w:val="001B1E4A"/>
    <w:rsid w:val="001B7C16"/>
    <w:rsid w:val="001D1EB4"/>
    <w:rsid w:val="001D27C0"/>
    <w:rsid w:val="001E56ED"/>
    <w:rsid w:val="001E74C3"/>
    <w:rsid w:val="001F6937"/>
    <w:rsid w:val="001F6AC3"/>
    <w:rsid w:val="00203C06"/>
    <w:rsid w:val="0021099C"/>
    <w:rsid w:val="00212CC2"/>
    <w:rsid w:val="00217A99"/>
    <w:rsid w:val="00220DE3"/>
    <w:rsid w:val="002220B8"/>
    <w:rsid w:val="002272C9"/>
    <w:rsid w:val="002340E9"/>
    <w:rsid w:val="00245BC1"/>
    <w:rsid w:val="002478AB"/>
    <w:rsid w:val="0025290D"/>
    <w:rsid w:val="00256693"/>
    <w:rsid w:val="00257DE5"/>
    <w:rsid w:val="00260372"/>
    <w:rsid w:val="00262DAF"/>
    <w:rsid w:val="00267E4D"/>
    <w:rsid w:val="00275661"/>
    <w:rsid w:val="00282E70"/>
    <w:rsid w:val="00285AED"/>
    <w:rsid w:val="00291F33"/>
    <w:rsid w:val="00292D4C"/>
    <w:rsid w:val="00293C34"/>
    <w:rsid w:val="002B034C"/>
    <w:rsid w:val="002B0F53"/>
    <w:rsid w:val="002D6331"/>
    <w:rsid w:val="002E2442"/>
    <w:rsid w:val="002E2A47"/>
    <w:rsid w:val="002E4C2E"/>
    <w:rsid w:val="002F0E8C"/>
    <w:rsid w:val="002F1148"/>
    <w:rsid w:val="00302FEA"/>
    <w:rsid w:val="00303B92"/>
    <w:rsid w:val="00307946"/>
    <w:rsid w:val="00307952"/>
    <w:rsid w:val="00310FA0"/>
    <w:rsid w:val="00320481"/>
    <w:rsid w:val="003250CB"/>
    <w:rsid w:val="0032539B"/>
    <w:rsid w:val="00327DF3"/>
    <w:rsid w:val="00332263"/>
    <w:rsid w:val="00337618"/>
    <w:rsid w:val="00341024"/>
    <w:rsid w:val="0034218F"/>
    <w:rsid w:val="003422A2"/>
    <w:rsid w:val="00344D92"/>
    <w:rsid w:val="003500DA"/>
    <w:rsid w:val="00363201"/>
    <w:rsid w:val="00372309"/>
    <w:rsid w:val="003732F3"/>
    <w:rsid w:val="0039063C"/>
    <w:rsid w:val="00394863"/>
    <w:rsid w:val="003A16DD"/>
    <w:rsid w:val="003A46A8"/>
    <w:rsid w:val="003A51AA"/>
    <w:rsid w:val="003A77A0"/>
    <w:rsid w:val="003B3425"/>
    <w:rsid w:val="003B55B7"/>
    <w:rsid w:val="003B565A"/>
    <w:rsid w:val="003D00A1"/>
    <w:rsid w:val="003D020C"/>
    <w:rsid w:val="003D1B6C"/>
    <w:rsid w:val="003D23AC"/>
    <w:rsid w:val="003D3439"/>
    <w:rsid w:val="003F69EC"/>
    <w:rsid w:val="0040144A"/>
    <w:rsid w:val="00405202"/>
    <w:rsid w:val="0041014C"/>
    <w:rsid w:val="00411CE6"/>
    <w:rsid w:val="0041427F"/>
    <w:rsid w:val="0041524A"/>
    <w:rsid w:val="00424DB8"/>
    <w:rsid w:val="004370E2"/>
    <w:rsid w:val="00443D63"/>
    <w:rsid w:val="00445E11"/>
    <w:rsid w:val="004509E5"/>
    <w:rsid w:val="00451DC9"/>
    <w:rsid w:val="00453183"/>
    <w:rsid w:val="004771BF"/>
    <w:rsid w:val="0047776F"/>
    <w:rsid w:val="00483092"/>
    <w:rsid w:val="00484206"/>
    <w:rsid w:val="00486FB9"/>
    <w:rsid w:val="004B21B4"/>
    <w:rsid w:val="004B252A"/>
    <w:rsid w:val="004B6B31"/>
    <w:rsid w:val="004C212A"/>
    <w:rsid w:val="004D2992"/>
    <w:rsid w:val="004D6AAF"/>
    <w:rsid w:val="004E0B67"/>
    <w:rsid w:val="004E0F62"/>
    <w:rsid w:val="004E3C9B"/>
    <w:rsid w:val="004E6216"/>
    <w:rsid w:val="004F262A"/>
    <w:rsid w:val="004F36BF"/>
    <w:rsid w:val="004F393A"/>
    <w:rsid w:val="004F6261"/>
    <w:rsid w:val="00500232"/>
    <w:rsid w:val="00504668"/>
    <w:rsid w:val="00507415"/>
    <w:rsid w:val="00541767"/>
    <w:rsid w:val="00545464"/>
    <w:rsid w:val="005455E1"/>
    <w:rsid w:val="0054564D"/>
    <w:rsid w:val="00545D0E"/>
    <w:rsid w:val="005502BD"/>
    <w:rsid w:val="0055242E"/>
    <w:rsid w:val="0055289F"/>
    <w:rsid w:val="00556787"/>
    <w:rsid w:val="00565B06"/>
    <w:rsid w:val="00573AEA"/>
    <w:rsid w:val="00582276"/>
    <w:rsid w:val="005905DB"/>
    <w:rsid w:val="00595FBB"/>
    <w:rsid w:val="00597AF8"/>
    <w:rsid w:val="005B4187"/>
    <w:rsid w:val="005B46E1"/>
    <w:rsid w:val="005C2560"/>
    <w:rsid w:val="005E31B4"/>
    <w:rsid w:val="005E32A9"/>
    <w:rsid w:val="005E4FBD"/>
    <w:rsid w:val="005F0771"/>
    <w:rsid w:val="005F2209"/>
    <w:rsid w:val="005F7585"/>
    <w:rsid w:val="00605759"/>
    <w:rsid w:val="0061215A"/>
    <w:rsid w:val="00623B01"/>
    <w:rsid w:val="00627E1A"/>
    <w:rsid w:val="00633A1E"/>
    <w:rsid w:val="00647774"/>
    <w:rsid w:val="00650C6C"/>
    <w:rsid w:val="00652FE6"/>
    <w:rsid w:val="0065337A"/>
    <w:rsid w:val="0065567B"/>
    <w:rsid w:val="00661DBC"/>
    <w:rsid w:val="00667898"/>
    <w:rsid w:val="00677FE0"/>
    <w:rsid w:val="006851BE"/>
    <w:rsid w:val="006855D4"/>
    <w:rsid w:val="006914BE"/>
    <w:rsid w:val="00692768"/>
    <w:rsid w:val="006954AB"/>
    <w:rsid w:val="006B0367"/>
    <w:rsid w:val="006B617F"/>
    <w:rsid w:val="006C3FB1"/>
    <w:rsid w:val="006C4145"/>
    <w:rsid w:val="006D04EF"/>
    <w:rsid w:val="006D54C9"/>
    <w:rsid w:val="006D67A0"/>
    <w:rsid w:val="006D6C94"/>
    <w:rsid w:val="006E2FB0"/>
    <w:rsid w:val="006E3491"/>
    <w:rsid w:val="006E4B85"/>
    <w:rsid w:val="006F0733"/>
    <w:rsid w:val="006F727F"/>
    <w:rsid w:val="007102D2"/>
    <w:rsid w:val="00713948"/>
    <w:rsid w:val="007323A4"/>
    <w:rsid w:val="00744E54"/>
    <w:rsid w:val="00750FDC"/>
    <w:rsid w:val="0075320F"/>
    <w:rsid w:val="00753A27"/>
    <w:rsid w:val="007619CC"/>
    <w:rsid w:val="007730B4"/>
    <w:rsid w:val="00774148"/>
    <w:rsid w:val="00783D0E"/>
    <w:rsid w:val="007912C8"/>
    <w:rsid w:val="0079342A"/>
    <w:rsid w:val="007A3159"/>
    <w:rsid w:val="007A4E5F"/>
    <w:rsid w:val="007A564C"/>
    <w:rsid w:val="007B296C"/>
    <w:rsid w:val="007B4949"/>
    <w:rsid w:val="007B4CFB"/>
    <w:rsid w:val="007C4887"/>
    <w:rsid w:val="007D29D6"/>
    <w:rsid w:val="007F0BC6"/>
    <w:rsid w:val="008173B5"/>
    <w:rsid w:val="00817EE5"/>
    <w:rsid w:val="00823DB0"/>
    <w:rsid w:val="00831374"/>
    <w:rsid w:val="008410C8"/>
    <w:rsid w:val="00852305"/>
    <w:rsid w:val="0085475E"/>
    <w:rsid w:val="00854A38"/>
    <w:rsid w:val="00857580"/>
    <w:rsid w:val="0085770D"/>
    <w:rsid w:val="00857FE9"/>
    <w:rsid w:val="008607A8"/>
    <w:rsid w:val="008613A9"/>
    <w:rsid w:val="00864942"/>
    <w:rsid w:val="00865238"/>
    <w:rsid w:val="008667BF"/>
    <w:rsid w:val="00874FFD"/>
    <w:rsid w:val="00892F6D"/>
    <w:rsid w:val="00895645"/>
    <w:rsid w:val="0089772A"/>
    <w:rsid w:val="00897D53"/>
    <w:rsid w:val="008A6741"/>
    <w:rsid w:val="008A7851"/>
    <w:rsid w:val="008B4152"/>
    <w:rsid w:val="008C3782"/>
    <w:rsid w:val="008D225F"/>
    <w:rsid w:val="008D423D"/>
    <w:rsid w:val="008D4A32"/>
    <w:rsid w:val="008D4D20"/>
    <w:rsid w:val="008D53A1"/>
    <w:rsid w:val="008D593A"/>
    <w:rsid w:val="008E7760"/>
    <w:rsid w:val="008F26D6"/>
    <w:rsid w:val="008F49C7"/>
    <w:rsid w:val="008F520E"/>
    <w:rsid w:val="008F72A3"/>
    <w:rsid w:val="00907F2F"/>
    <w:rsid w:val="009139B8"/>
    <w:rsid w:val="00916A01"/>
    <w:rsid w:val="00922001"/>
    <w:rsid w:val="0092267A"/>
    <w:rsid w:val="00922C17"/>
    <w:rsid w:val="009308A4"/>
    <w:rsid w:val="00933474"/>
    <w:rsid w:val="00935E2A"/>
    <w:rsid w:val="0094215D"/>
    <w:rsid w:val="00942DDD"/>
    <w:rsid w:val="009466D1"/>
    <w:rsid w:val="009516A8"/>
    <w:rsid w:val="00961C06"/>
    <w:rsid w:val="009663B8"/>
    <w:rsid w:val="00966664"/>
    <w:rsid w:val="00967FFB"/>
    <w:rsid w:val="0097705C"/>
    <w:rsid w:val="009800C6"/>
    <w:rsid w:val="00984593"/>
    <w:rsid w:val="00990A88"/>
    <w:rsid w:val="00992487"/>
    <w:rsid w:val="009A13B3"/>
    <w:rsid w:val="009A2175"/>
    <w:rsid w:val="009A6D30"/>
    <w:rsid w:val="009A6F39"/>
    <w:rsid w:val="009B5493"/>
    <w:rsid w:val="009C154D"/>
    <w:rsid w:val="009D4A2E"/>
    <w:rsid w:val="009E2488"/>
    <w:rsid w:val="009E5CAA"/>
    <w:rsid w:val="009E60CF"/>
    <w:rsid w:val="009F2EA5"/>
    <w:rsid w:val="009F393D"/>
    <w:rsid w:val="009F7F46"/>
    <w:rsid w:val="00A000BF"/>
    <w:rsid w:val="00A0587E"/>
    <w:rsid w:val="00A1522A"/>
    <w:rsid w:val="00A165EE"/>
    <w:rsid w:val="00A2380F"/>
    <w:rsid w:val="00A258A0"/>
    <w:rsid w:val="00A2759D"/>
    <w:rsid w:val="00A275BC"/>
    <w:rsid w:val="00A31561"/>
    <w:rsid w:val="00A33DB6"/>
    <w:rsid w:val="00A342A3"/>
    <w:rsid w:val="00A42357"/>
    <w:rsid w:val="00A4345F"/>
    <w:rsid w:val="00A448F2"/>
    <w:rsid w:val="00A464B4"/>
    <w:rsid w:val="00A47F36"/>
    <w:rsid w:val="00A51BAC"/>
    <w:rsid w:val="00A63D6B"/>
    <w:rsid w:val="00A84A61"/>
    <w:rsid w:val="00A84B52"/>
    <w:rsid w:val="00A85821"/>
    <w:rsid w:val="00A8660F"/>
    <w:rsid w:val="00A903A3"/>
    <w:rsid w:val="00A9515D"/>
    <w:rsid w:val="00A95C48"/>
    <w:rsid w:val="00AA1F50"/>
    <w:rsid w:val="00AA328A"/>
    <w:rsid w:val="00AA7056"/>
    <w:rsid w:val="00AB31C6"/>
    <w:rsid w:val="00AB523B"/>
    <w:rsid w:val="00AC0B62"/>
    <w:rsid w:val="00AC1BA6"/>
    <w:rsid w:val="00AC277E"/>
    <w:rsid w:val="00AC7F0E"/>
    <w:rsid w:val="00AD15CB"/>
    <w:rsid w:val="00AD3283"/>
    <w:rsid w:val="00AD7E40"/>
    <w:rsid w:val="00AE5D0A"/>
    <w:rsid w:val="00AF7AF5"/>
    <w:rsid w:val="00B02988"/>
    <w:rsid w:val="00B13514"/>
    <w:rsid w:val="00B1477A"/>
    <w:rsid w:val="00B20993"/>
    <w:rsid w:val="00B20B7B"/>
    <w:rsid w:val="00B2788D"/>
    <w:rsid w:val="00B34E61"/>
    <w:rsid w:val="00B42E96"/>
    <w:rsid w:val="00B44576"/>
    <w:rsid w:val="00B50EE6"/>
    <w:rsid w:val="00B52185"/>
    <w:rsid w:val="00B52D88"/>
    <w:rsid w:val="00B53F3D"/>
    <w:rsid w:val="00B6569B"/>
    <w:rsid w:val="00B95B04"/>
    <w:rsid w:val="00B95B3A"/>
    <w:rsid w:val="00B96825"/>
    <w:rsid w:val="00B9753A"/>
    <w:rsid w:val="00BA085F"/>
    <w:rsid w:val="00BB188B"/>
    <w:rsid w:val="00BB479C"/>
    <w:rsid w:val="00BC4720"/>
    <w:rsid w:val="00BD6B36"/>
    <w:rsid w:val="00BD75A2"/>
    <w:rsid w:val="00BE0CAE"/>
    <w:rsid w:val="00C11C51"/>
    <w:rsid w:val="00C14067"/>
    <w:rsid w:val="00C14C3D"/>
    <w:rsid w:val="00C2017A"/>
    <w:rsid w:val="00C2026B"/>
    <w:rsid w:val="00C20470"/>
    <w:rsid w:val="00C20DD7"/>
    <w:rsid w:val="00C31633"/>
    <w:rsid w:val="00C34B2F"/>
    <w:rsid w:val="00C40C60"/>
    <w:rsid w:val="00C40E05"/>
    <w:rsid w:val="00C4641B"/>
    <w:rsid w:val="00C5115D"/>
    <w:rsid w:val="00C6690E"/>
    <w:rsid w:val="00C703C5"/>
    <w:rsid w:val="00C7219C"/>
    <w:rsid w:val="00C805F2"/>
    <w:rsid w:val="00C833F3"/>
    <w:rsid w:val="00C8451C"/>
    <w:rsid w:val="00C85284"/>
    <w:rsid w:val="00C90885"/>
    <w:rsid w:val="00C90FBC"/>
    <w:rsid w:val="00C94727"/>
    <w:rsid w:val="00C96EFE"/>
    <w:rsid w:val="00CA100C"/>
    <w:rsid w:val="00CA3C20"/>
    <w:rsid w:val="00CA5BCD"/>
    <w:rsid w:val="00CB1C14"/>
    <w:rsid w:val="00CB1D05"/>
    <w:rsid w:val="00CC3646"/>
    <w:rsid w:val="00CC5E40"/>
    <w:rsid w:val="00CE57B5"/>
    <w:rsid w:val="00CE7EDA"/>
    <w:rsid w:val="00CF1AC3"/>
    <w:rsid w:val="00CF249B"/>
    <w:rsid w:val="00D0706E"/>
    <w:rsid w:val="00D11562"/>
    <w:rsid w:val="00D15545"/>
    <w:rsid w:val="00D1569F"/>
    <w:rsid w:val="00D20B1E"/>
    <w:rsid w:val="00D22462"/>
    <w:rsid w:val="00D230AC"/>
    <w:rsid w:val="00D23EFE"/>
    <w:rsid w:val="00D3236F"/>
    <w:rsid w:val="00D32489"/>
    <w:rsid w:val="00D3349E"/>
    <w:rsid w:val="00D40C71"/>
    <w:rsid w:val="00D422E5"/>
    <w:rsid w:val="00D43070"/>
    <w:rsid w:val="00D45C6C"/>
    <w:rsid w:val="00D52024"/>
    <w:rsid w:val="00D528F5"/>
    <w:rsid w:val="00D6044C"/>
    <w:rsid w:val="00D737C9"/>
    <w:rsid w:val="00D73CB8"/>
    <w:rsid w:val="00D74BCC"/>
    <w:rsid w:val="00D771A2"/>
    <w:rsid w:val="00D8102B"/>
    <w:rsid w:val="00D8278A"/>
    <w:rsid w:val="00D91BD4"/>
    <w:rsid w:val="00D92EBD"/>
    <w:rsid w:val="00D93F33"/>
    <w:rsid w:val="00DA104A"/>
    <w:rsid w:val="00DA7591"/>
    <w:rsid w:val="00DB105F"/>
    <w:rsid w:val="00DB3360"/>
    <w:rsid w:val="00DC1C3A"/>
    <w:rsid w:val="00DD12F6"/>
    <w:rsid w:val="00DD137B"/>
    <w:rsid w:val="00DD19CB"/>
    <w:rsid w:val="00DD774F"/>
    <w:rsid w:val="00DE4B30"/>
    <w:rsid w:val="00DE4EBA"/>
    <w:rsid w:val="00DE536D"/>
    <w:rsid w:val="00DF1497"/>
    <w:rsid w:val="00E00A23"/>
    <w:rsid w:val="00E01657"/>
    <w:rsid w:val="00E05317"/>
    <w:rsid w:val="00E133E8"/>
    <w:rsid w:val="00E14195"/>
    <w:rsid w:val="00E2280E"/>
    <w:rsid w:val="00E3223B"/>
    <w:rsid w:val="00E32798"/>
    <w:rsid w:val="00E33CC8"/>
    <w:rsid w:val="00E36C84"/>
    <w:rsid w:val="00E37A51"/>
    <w:rsid w:val="00E46594"/>
    <w:rsid w:val="00E47E89"/>
    <w:rsid w:val="00E506F1"/>
    <w:rsid w:val="00E51C91"/>
    <w:rsid w:val="00E51EF4"/>
    <w:rsid w:val="00E644B6"/>
    <w:rsid w:val="00E667C1"/>
    <w:rsid w:val="00E73764"/>
    <w:rsid w:val="00E74448"/>
    <w:rsid w:val="00E819AA"/>
    <w:rsid w:val="00E85586"/>
    <w:rsid w:val="00EB49AA"/>
    <w:rsid w:val="00EB6134"/>
    <w:rsid w:val="00EC035E"/>
    <w:rsid w:val="00EC34C5"/>
    <w:rsid w:val="00EC3F88"/>
    <w:rsid w:val="00ED36D8"/>
    <w:rsid w:val="00EE400C"/>
    <w:rsid w:val="00EE6BD7"/>
    <w:rsid w:val="00EF12C9"/>
    <w:rsid w:val="00EF3EAD"/>
    <w:rsid w:val="00EF7E53"/>
    <w:rsid w:val="00F0689D"/>
    <w:rsid w:val="00F14E9C"/>
    <w:rsid w:val="00F16AAB"/>
    <w:rsid w:val="00F20462"/>
    <w:rsid w:val="00F223BF"/>
    <w:rsid w:val="00F3025D"/>
    <w:rsid w:val="00F43061"/>
    <w:rsid w:val="00F461FC"/>
    <w:rsid w:val="00F510ED"/>
    <w:rsid w:val="00F679BB"/>
    <w:rsid w:val="00F71839"/>
    <w:rsid w:val="00F861F7"/>
    <w:rsid w:val="00F97207"/>
    <w:rsid w:val="00FA6234"/>
    <w:rsid w:val="00FA6BE1"/>
    <w:rsid w:val="00FA7A53"/>
    <w:rsid w:val="00FB01B5"/>
    <w:rsid w:val="00FB1E10"/>
    <w:rsid w:val="00FB2CE1"/>
    <w:rsid w:val="00FB7AC9"/>
    <w:rsid w:val="00FC3906"/>
    <w:rsid w:val="00FD0402"/>
    <w:rsid w:val="00FD52EE"/>
    <w:rsid w:val="00FD5305"/>
    <w:rsid w:val="00FE18CE"/>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character" w:customStyle="1" w:styleId="Nevyeenzmnka4">
    <w:name w:val="Nevyřešená zmínka4"/>
    <w:basedOn w:val="Standardnpsmoodstavce"/>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A6BE1"/>
    <w:pPr>
      <w:spacing w:after="160" w:line="240" w:lineRule="exact"/>
    </w:pPr>
    <w:rPr>
      <w:rFonts w:ascii="Times New Roman Bold" w:hAnsi="Times New Roman Bold"/>
      <w:sz w:val="22"/>
      <w:szCs w:val="26"/>
      <w:lang w:val="sk-SK" w:eastAsia="en-US"/>
    </w:rPr>
  </w:style>
  <w:style w:type="character" w:customStyle="1" w:styleId="UnresolvedMention1">
    <w:name w:val="Unresolved Mention1"/>
    <w:basedOn w:val="Standardnpsmoodstavce"/>
    <w:uiPriority w:val="99"/>
    <w:semiHidden/>
    <w:unhideWhenUsed/>
    <w:rsid w:val="00DB3360"/>
    <w:rPr>
      <w:color w:val="605E5C"/>
      <w:shd w:val="clear" w:color="auto" w:fill="E1DFDD"/>
    </w:rPr>
  </w:style>
  <w:style w:type="paragraph" w:styleId="Revize">
    <w:name w:val="Revision"/>
    <w:hidden/>
    <w:uiPriority w:val="99"/>
    <w:semiHidden/>
    <w:rsid w:val="002B034C"/>
    <w:pPr>
      <w:spacing w:after="0" w:line="240" w:lineRule="auto"/>
    </w:pPr>
    <w:rPr>
      <w:rFonts w:ascii="Times New Roman" w:eastAsia="Times New Roman" w:hAnsi="Times New Roman" w:cs="Times New Roman"/>
      <w:sz w:val="24"/>
      <w:szCs w:val="24"/>
      <w:lang w:eastAsia="en-GB"/>
    </w:rPr>
  </w:style>
  <w:style w:type="character" w:styleId="Nevyeenzmnka">
    <w:name w:val="Unresolved Mention"/>
    <w:basedOn w:val="Standardnpsmoodstavce"/>
    <w:uiPriority w:val="99"/>
    <w:semiHidden/>
    <w:unhideWhenUsed/>
    <w:rsid w:val="0065337A"/>
    <w:rPr>
      <w:color w:val="605E5C"/>
      <w:shd w:val="clear" w:color="auto" w:fill="E1DFDD"/>
    </w:rPr>
  </w:style>
  <w:style w:type="paragraph" w:styleId="Prosttext">
    <w:name w:val="Plain Text"/>
    <w:basedOn w:val="Normln"/>
    <w:link w:val="ProsttextChar"/>
    <w:uiPriority w:val="99"/>
    <w:unhideWhenUsed/>
    <w:rsid w:val="0040144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014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65540832">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6424">
      <w:bodyDiv w:val="1"/>
      <w:marLeft w:val="0"/>
      <w:marRight w:val="0"/>
      <w:marTop w:val="0"/>
      <w:marBottom w:val="0"/>
      <w:divBdr>
        <w:top w:val="none" w:sz="0" w:space="0" w:color="auto"/>
        <w:left w:val="none" w:sz="0" w:space="0" w:color="auto"/>
        <w:bottom w:val="none" w:sz="0" w:space="0" w:color="auto"/>
        <w:right w:val="none" w:sz="0" w:space="0" w:color="auto"/>
      </w:divBdr>
    </w:div>
    <w:div w:id="280647495">
      <w:bodyDiv w:val="1"/>
      <w:marLeft w:val="0"/>
      <w:marRight w:val="0"/>
      <w:marTop w:val="0"/>
      <w:marBottom w:val="0"/>
      <w:divBdr>
        <w:top w:val="none" w:sz="0" w:space="0" w:color="auto"/>
        <w:left w:val="none" w:sz="0" w:space="0" w:color="auto"/>
        <w:bottom w:val="none" w:sz="0" w:space="0" w:color="auto"/>
        <w:right w:val="none" w:sz="0" w:space="0" w:color="auto"/>
      </w:divBdr>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573786250">
      <w:bodyDiv w:val="1"/>
      <w:marLeft w:val="0"/>
      <w:marRight w:val="0"/>
      <w:marTop w:val="0"/>
      <w:marBottom w:val="0"/>
      <w:divBdr>
        <w:top w:val="none" w:sz="0" w:space="0" w:color="auto"/>
        <w:left w:val="none" w:sz="0" w:space="0" w:color="auto"/>
        <w:bottom w:val="none" w:sz="0" w:space="0" w:color="auto"/>
        <w:right w:val="none" w:sz="0" w:space="0" w:color="auto"/>
      </w:divBdr>
    </w:div>
    <w:div w:id="577401900">
      <w:bodyDiv w:val="1"/>
      <w:marLeft w:val="0"/>
      <w:marRight w:val="0"/>
      <w:marTop w:val="0"/>
      <w:marBottom w:val="0"/>
      <w:divBdr>
        <w:top w:val="none" w:sz="0" w:space="0" w:color="auto"/>
        <w:left w:val="none" w:sz="0" w:space="0" w:color="auto"/>
        <w:bottom w:val="none" w:sz="0" w:space="0" w:color="auto"/>
        <w:right w:val="none" w:sz="0" w:space="0" w:color="auto"/>
      </w:divBdr>
    </w:div>
    <w:div w:id="616643917">
      <w:bodyDiv w:val="1"/>
      <w:marLeft w:val="0"/>
      <w:marRight w:val="0"/>
      <w:marTop w:val="0"/>
      <w:marBottom w:val="0"/>
      <w:divBdr>
        <w:top w:val="none" w:sz="0" w:space="0" w:color="auto"/>
        <w:left w:val="none" w:sz="0" w:space="0" w:color="auto"/>
        <w:bottom w:val="none" w:sz="0" w:space="0" w:color="auto"/>
        <w:right w:val="none" w:sz="0" w:space="0" w:color="auto"/>
      </w:divBdr>
    </w:div>
    <w:div w:id="664405607">
      <w:bodyDiv w:val="1"/>
      <w:marLeft w:val="0"/>
      <w:marRight w:val="0"/>
      <w:marTop w:val="0"/>
      <w:marBottom w:val="0"/>
      <w:divBdr>
        <w:top w:val="none" w:sz="0" w:space="0" w:color="auto"/>
        <w:left w:val="none" w:sz="0" w:space="0" w:color="auto"/>
        <w:bottom w:val="none" w:sz="0" w:space="0" w:color="auto"/>
        <w:right w:val="none" w:sz="0" w:space="0" w:color="auto"/>
      </w:divBdr>
    </w:div>
    <w:div w:id="691953610">
      <w:bodyDiv w:val="1"/>
      <w:marLeft w:val="0"/>
      <w:marRight w:val="0"/>
      <w:marTop w:val="0"/>
      <w:marBottom w:val="0"/>
      <w:divBdr>
        <w:top w:val="none" w:sz="0" w:space="0" w:color="auto"/>
        <w:left w:val="none" w:sz="0" w:space="0" w:color="auto"/>
        <w:bottom w:val="none" w:sz="0" w:space="0" w:color="auto"/>
        <w:right w:val="none" w:sz="0" w:space="0" w:color="auto"/>
      </w:divBdr>
    </w:div>
    <w:div w:id="869948762">
      <w:bodyDiv w:val="1"/>
      <w:marLeft w:val="0"/>
      <w:marRight w:val="0"/>
      <w:marTop w:val="0"/>
      <w:marBottom w:val="0"/>
      <w:divBdr>
        <w:top w:val="none" w:sz="0" w:space="0" w:color="auto"/>
        <w:left w:val="none" w:sz="0" w:space="0" w:color="auto"/>
        <w:bottom w:val="none" w:sz="0" w:space="0" w:color="auto"/>
        <w:right w:val="none" w:sz="0" w:space="0" w:color="auto"/>
      </w:divBdr>
    </w:div>
    <w:div w:id="1014499875">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098595861">
      <w:bodyDiv w:val="1"/>
      <w:marLeft w:val="0"/>
      <w:marRight w:val="0"/>
      <w:marTop w:val="0"/>
      <w:marBottom w:val="0"/>
      <w:divBdr>
        <w:top w:val="none" w:sz="0" w:space="0" w:color="auto"/>
        <w:left w:val="none" w:sz="0" w:space="0" w:color="auto"/>
        <w:bottom w:val="none" w:sz="0" w:space="0" w:color="auto"/>
        <w:right w:val="none" w:sz="0" w:space="0" w:color="auto"/>
      </w:divBdr>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186559593">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36092772">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15988566">
      <w:bodyDiv w:val="1"/>
      <w:marLeft w:val="0"/>
      <w:marRight w:val="0"/>
      <w:marTop w:val="0"/>
      <w:marBottom w:val="0"/>
      <w:divBdr>
        <w:top w:val="none" w:sz="0" w:space="0" w:color="auto"/>
        <w:left w:val="none" w:sz="0" w:space="0" w:color="auto"/>
        <w:bottom w:val="none" w:sz="0" w:space="0" w:color="auto"/>
        <w:right w:val="none" w:sz="0" w:space="0" w:color="auto"/>
      </w:divBdr>
    </w:div>
    <w:div w:id="1317762124">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505778038">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613438483">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757945990">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897737658">
      <w:bodyDiv w:val="1"/>
      <w:marLeft w:val="0"/>
      <w:marRight w:val="0"/>
      <w:marTop w:val="0"/>
      <w:marBottom w:val="0"/>
      <w:divBdr>
        <w:top w:val="none" w:sz="0" w:space="0" w:color="auto"/>
        <w:left w:val="none" w:sz="0" w:space="0" w:color="auto"/>
        <w:bottom w:val="none" w:sz="0" w:space="0" w:color="auto"/>
        <w:right w:val="none" w:sz="0" w:space="0" w:color="auto"/>
      </w:divBdr>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32410533">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zrb.cz/podnikatele/zaruky/zaruka-covid-iii/" TargetMode="External"/><Relationship Id="rId13" Type="http://schemas.openxmlformats.org/officeDocument/2006/relationships/hyperlink" Target="https://www.mmr.cz/cs/narodni-dotace/covid-podpora-cestovniho-ruchu/covid-&#8211;-cestovni-agentury" TargetMode="External"/><Relationship Id="rId18" Type="http://schemas.openxmlformats.org/officeDocument/2006/relationships/hyperlink" Target="https://www.egap.cz/" TargetMode="External"/><Relationship Id="rId3" Type="http://schemas.openxmlformats.org/officeDocument/2006/relationships/styles" Target="styles.xml"/><Relationship Id="rId21" Type="http://schemas.openxmlformats.org/officeDocument/2006/relationships/hyperlink" Target="https://www.mfcr.cz/cs/aktualne/tiskove-zpravy/2020/mf-pripravilo-velky-liberacni-balicek-39676" TargetMode="External"/><Relationship Id="rId7" Type="http://schemas.openxmlformats.org/officeDocument/2006/relationships/endnotes" Target="endnotes.xml"/><Relationship Id="rId12" Type="http://schemas.openxmlformats.org/officeDocument/2006/relationships/hyperlink" Target="https://www.mmr.cz/cs/narodni-dotace/covid-podpora-cestovniho-ruchu/covid-cestovni-kancelare" TargetMode="External"/><Relationship Id="rId17" Type="http://schemas.openxmlformats.org/officeDocument/2006/relationships/hyperlink" Target="http://eagri.cz/public/app/MpZ/Gui" TargetMode="External"/><Relationship Id="rId2" Type="http://schemas.openxmlformats.org/officeDocument/2006/relationships/numbering" Target="numbering.xml"/><Relationship Id="rId16" Type="http://schemas.openxmlformats.org/officeDocument/2006/relationships/hyperlink" Target="http://eagri.cz/public/web/mze/tiskovy-servis/aktuality/koronavirus/ministerstvo-zemedelstvi-zverejnilo.html" TargetMode="External"/><Relationship Id="rId20" Type="http://schemas.openxmlformats.org/officeDocument/2006/relationships/hyperlink" Target="https://www.financnisprava.cz/cs/financni-sprava/media-a-verejnost/nouzovy-stav/danove-informace/info-pro-verejnost/Informace-FS-k-prominuti-dane-10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nisprava.cz/cs/financni-sprava/novinky/2020/FS-zacina-prijimat-zadosti-o-KB-109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l.egap.cz/Covid" TargetMode="External"/><Relationship Id="rId23" Type="http://schemas.openxmlformats.org/officeDocument/2006/relationships/fontTable" Target="fontTable.xml"/><Relationship Id="rId10" Type="http://schemas.openxmlformats.org/officeDocument/2006/relationships/hyperlink" Target="https://www.mpo.cz/kultura" TargetMode="External"/><Relationship Id="rId19" Type="http://schemas.openxmlformats.org/officeDocument/2006/relationships/hyperlink" Target="https://www.financnisprava.cz/assets/cs/prilohy/d-sprava-dani-a-poplatku/vzor-Oznameni-prominuti-uroku-zalohy-na-dan-20201026.docx" TargetMode="External"/><Relationship Id="rId4" Type="http://schemas.openxmlformats.org/officeDocument/2006/relationships/settings" Target="settings.xml"/><Relationship Id="rId9" Type="http://schemas.openxmlformats.org/officeDocument/2006/relationships/hyperlink" Target="https://www.mpo.cz/cz/podnikani/zivnostenske-podnikani/covid-19-najemne--255305/" TargetMode="External"/><Relationship Id="rId14" Type="http://schemas.openxmlformats.org/officeDocument/2006/relationships/hyperlink" Target="https://www.mmr.cz/cs/narodni-dotace/covid-podpora-cestovniho-ruchu/covid-&#8211;-pruvodci-v-cestovnim-ruchu" TargetMode="External"/><Relationship Id="rId22" Type="http://schemas.openxmlformats.org/officeDocument/2006/relationships/hyperlink" Target="https://www.mpsv.cz/antivirus"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7A52-C249-48C3-8D5F-E957F981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3844</Words>
  <Characters>22684</Characters>
  <Application>Microsoft Office Word</Application>
  <DocSecurity>0</DocSecurity>
  <Lines>189</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14</cp:revision>
  <dcterms:created xsi:type="dcterms:W3CDTF">2020-11-16T10:12:00Z</dcterms:created>
  <dcterms:modified xsi:type="dcterms:W3CDTF">2020-12-15T13:23:00Z</dcterms:modified>
</cp:coreProperties>
</file>