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487" w:rsidRDefault="001E56ED" w:rsidP="001E56ED">
      <w:pPr>
        <w:spacing w:before="120" w:after="120" w:line="240" w:lineRule="auto"/>
        <w:jc w:val="center"/>
        <w:rPr>
          <w:rFonts w:ascii="Arial" w:hAnsi="Arial" w:cs="Arial"/>
          <w:b/>
          <w:sz w:val="28"/>
          <w:szCs w:val="28"/>
          <w:u w:val="single"/>
        </w:rPr>
      </w:pPr>
      <w:r w:rsidRPr="004771BF">
        <w:rPr>
          <w:rFonts w:ascii="Arial" w:hAnsi="Arial" w:cs="Arial"/>
          <w:b/>
          <w:sz w:val="28"/>
          <w:szCs w:val="28"/>
          <w:u w:val="single"/>
        </w:rPr>
        <w:t xml:space="preserve">OPATŘENÍ PRO </w:t>
      </w:r>
      <w:r w:rsidR="00332263" w:rsidRPr="004771BF">
        <w:rPr>
          <w:rFonts w:ascii="Arial" w:hAnsi="Arial" w:cs="Arial"/>
          <w:b/>
          <w:sz w:val="28"/>
          <w:szCs w:val="28"/>
          <w:u w:val="single"/>
        </w:rPr>
        <w:t>FIRMY</w:t>
      </w:r>
    </w:p>
    <w:p w:rsidR="00BD0208" w:rsidRPr="00BD0208" w:rsidRDefault="00BD0208" w:rsidP="001E56ED">
      <w:pPr>
        <w:spacing w:before="120" w:after="120" w:line="240" w:lineRule="auto"/>
        <w:jc w:val="center"/>
        <w:rPr>
          <w:rFonts w:ascii="Arial" w:hAnsi="Arial" w:cs="Arial"/>
          <w:sz w:val="20"/>
          <w:szCs w:val="20"/>
        </w:rPr>
      </w:pPr>
      <w:r w:rsidRPr="00BD0208">
        <w:rPr>
          <w:rFonts w:ascii="Arial" w:hAnsi="Arial" w:cs="Arial"/>
          <w:sz w:val="20"/>
          <w:szCs w:val="20"/>
        </w:rPr>
        <w:t>(7. 5. 2020)</w:t>
      </w:r>
    </w:p>
    <w:tbl>
      <w:tblPr>
        <w:tblStyle w:val="Mkatabulky"/>
        <w:tblpPr w:leftFromText="141" w:rightFromText="141" w:horzAnchor="margin" w:tblpX="-723" w:tblpY="1842"/>
        <w:tblW w:w="16013" w:type="dxa"/>
        <w:tblLayout w:type="fixed"/>
        <w:tblLook w:val="04A0" w:firstRow="1" w:lastRow="0" w:firstColumn="1" w:lastColumn="0" w:noHBand="0" w:noVBand="1"/>
      </w:tblPr>
      <w:tblGrid>
        <w:gridCol w:w="1917"/>
        <w:gridCol w:w="9560"/>
        <w:gridCol w:w="4536"/>
      </w:tblGrid>
      <w:tr w:rsidR="00692768" w:rsidRPr="00565B06" w:rsidTr="00CF249B">
        <w:trPr>
          <w:trHeight w:val="590"/>
        </w:trPr>
        <w:tc>
          <w:tcPr>
            <w:tcW w:w="1917" w:type="dxa"/>
            <w:shd w:val="clear" w:color="auto" w:fill="auto"/>
          </w:tcPr>
          <w:p w:rsidR="00692768" w:rsidRPr="00565B06" w:rsidRDefault="00692768" w:rsidP="00692768">
            <w:pPr>
              <w:spacing w:before="120" w:after="120" w:line="240" w:lineRule="auto"/>
              <w:rPr>
                <w:rFonts w:ascii="Arial" w:hAnsi="Arial" w:cs="Arial"/>
                <w:sz w:val="20"/>
                <w:szCs w:val="20"/>
              </w:rPr>
            </w:pPr>
            <w:r>
              <w:rPr>
                <w:rFonts w:ascii="Arial" w:hAnsi="Arial" w:cs="Arial"/>
                <w:b/>
                <w:sz w:val="20"/>
                <w:szCs w:val="20"/>
              </w:rPr>
              <w:t>Záruky pro</w:t>
            </w:r>
            <w:r w:rsidRPr="00817E4A">
              <w:rPr>
                <w:rFonts w:ascii="Arial" w:hAnsi="Arial" w:cs="Arial"/>
                <w:b/>
                <w:sz w:val="20"/>
                <w:szCs w:val="20"/>
              </w:rPr>
              <w:t xml:space="preserve"> </w:t>
            </w:r>
            <w:r>
              <w:rPr>
                <w:rFonts w:ascii="Arial" w:hAnsi="Arial" w:cs="Arial"/>
                <w:b/>
                <w:sz w:val="20"/>
                <w:szCs w:val="20"/>
              </w:rPr>
              <w:t>podnikatele</w:t>
            </w:r>
            <w:r w:rsidRPr="00817E4A">
              <w:rPr>
                <w:rFonts w:ascii="Arial" w:hAnsi="Arial" w:cs="Arial"/>
                <w:b/>
                <w:sz w:val="20"/>
                <w:szCs w:val="20"/>
              </w:rPr>
              <w:t xml:space="preserve"> </w:t>
            </w:r>
            <w:r>
              <w:rPr>
                <w:rFonts w:ascii="Arial" w:hAnsi="Arial" w:cs="Arial"/>
                <w:b/>
                <w:sz w:val="20"/>
                <w:szCs w:val="20"/>
              </w:rPr>
              <w:t xml:space="preserve">zasažené </w:t>
            </w:r>
            <w:proofErr w:type="spellStart"/>
            <w:r>
              <w:rPr>
                <w:rFonts w:ascii="Arial" w:hAnsi="Arial" w:cs="Arial"/>
                <w:b/>
                <w:sz w:val="20"/>
                <w:szCs w:val="20"/>
              </w:rPr>
              <w:t>koronavirem</w:t>
            </w:r>
            <w:proofErr w:type="spellEnd"/>
            <w:r w:rsidRPr="00817E4A">
              <w:rPr>
                <w:rFonts w:ascii="Arial" w:hAnsi="Arial" w:cs="Arial"/>
                <w:b/>
                <w:sz w:val="20"/>
                <w:szCs w:val="20"/>
              </w:rPr>
              <w:t xml:space="preserve"> COVID III. (ČMZRB)</w:t>
            </w:r>
          </w:p>
        </w:tc>
        <w:tc>
          <w:tcPr>
            <w:tcW w:w="9560" w:type="dxa"/>
            <w:shd w:val="clear" w:color="auto" w:fill="auto"/>
          </w:tcPr>
          <w:p w:rsidR="00692768" w:rsidRPr="00FC10BB" w:rsidRDefault="00692768" w:rsidP="00692768">
            <w:pPr>
              <w:pStyle w:val="Odstavecseseznamem"/>
              <w:numPr>
                <w:ilvl w:val="0"/>
                <w:numId w:val="19"/>
              </w:numPr>
              <w:spacing w:before="120" w:after="120" w:line="240" w:lineRule="auto"/>
              <w:rPr>
                <w:rFonts w:ascii="Arial" w:hAnsi="Arial" w:cs="Arial"/>
                <w:sz w:val="20"/>
                <w:szCs w:val="20"/>
              </w:rPr>
            </w:pPr>
            <w:r>
              <w:rPr>
                <w:rFonts w:ascii="Arial" w:hAnsi="Arial" w:cs="Arial"/>
                <w:sz w:val="20"/>
                <w:szCs w:val="20"/>
              </w:rPr>
              <w:t>p</w:t>
            </w:r>
            <w:r w:rsidRPr="00817E4A">
              <w:rPr>
                <w:rFonts w:ascii="Arial" w:hAnsi="Arial" w:cs="Arial"/>
                <w:sz w:val="20"/>
                <w:szCs w:val="20"/>
              </w:rPr>
              <w:t>řibližně v polovině května dojde k vyhlášení záručního programu COVID III. Úvěry budou poskytovat spolupracující komerční banky, ČMZRB bude vystavovat záruky a bude určen pro OSVČ a podnikatele zaměstnávající až 500 zaměstnanců v rámci celé ČR.</w:t>
            </w:r>
          </w:p>
        </w:tc>
        <w:tc>
          <w:tcPr>
            <w:tcW w:w="4536" w:type="dxa"/>
            <w:shd w:val="clear" w:color="auto" w:fill="auto"/>
          </w:tcPr>
          <w:p w:rsidR="00692768" w:rsidRPr="00817E4A" w:rsidRDefault="00692768" w:rsidP="00692768">
            <w:pPr>
              <w:spacing w:before="120" w:after="120" w:line="240" w:lineRule="auto"/>
              <w:ind w:left="-45"/>
              <w:rPr>
                <w:rFonts w:ascii="Arial" w:hAnsi="Arial" w:cs="Arial"/>
                <w:sz w:val="20"/>
                <w:szCs w:val="20"/>
              </w:rPr>
            </w:pPr>
            <w:r w:rsidRPr="00817E4A">
              <w:t>https://www.cmzrb.cz/</w:t>
            </w:r>
          </w:p>
        </w:tc>
      </w:tr>
      <w:tr w:rsidR="00AA1F50" w:rsidRPr="00565B06" w:rsidTr="00CF249B">
        <w:trPr>
          <w:trHeight w:val="590"/>
        </w:trPr>
        <w:tc>
          <w:tcPr>
            <w:tcW w:w="1917" w:type="dxa"/>
            <w:shd w:val="clear" w:color="auto" w:fill="auto"/>
          </w:tcPr>
          <w:p w:rsidR="00AA1F50" w:rsidRPr="00BD0208" w:rsidRDefault="00AA1F50" w:rsidP="00692768">
            <w:pPr>
              <w:spacing w:before="120" w:after="120" w:line="240" w:lineRule="auto"/>
              <w:rPr>
                <w:rFonts w:ascii="Arial" w:hAnsi="Arial" w:cs="Arial"/>
                <w:b/>
                <w:sz w:val="20"/>
                <w:szCs w:val="20"/>
              </w:rPr>
            </w:pPr>
            <w:r w:rsidRPr="00BD0208">
              <w:rPr>
                <w:rFonts w:ascii="Arial" w:hAnsi="Arial" w:cs="Arial"/>
                <w:b/>
                <w:sz w:val="20"/>
                <w:szCs w:val="20"/>
              </w:rPr>
              <w:t>Kompenzace pro krizovými opatřeními postižené s.r.o. (Program Pětadvacítka)</w:t>
            </w:r>
          </w:p>
        </w:tc>
        <w:tc>
          <w:tcPr>
            <w:tcW w:w="9560" w:type="dxa"/>
            <w:shd w:val="clear" w:color="auto" w:fill="auto"/>
          </w:tcPr>
          <w:p w:rsidR="00AA1F50" w:rsidRPr="00BD0208" w:rsidRDefault="00AA1F50" w:rsidP="00692768">
            <w:pPr>
              <w:pStyle w:val="Odstavecseseznamem"/>
              <w:numPr>
                <w:ilvl w:val="0"/>
                <w:numId w:val="19"/>
              </w:numPr>
              <w:spacing w:before="120" w:after="120" w:line="240" w:lineRule="auto"/>
              <w:rPr>
                <w:rFonts w:ascii="Arial" w:hAnsi="Arial" w:cs="Arial"/>
                <w:sz w:val="20"/>
                <w:szCs w:val="20"/>
              </w:rPr>
            </w:pPr>
            <w:r w:rsidRPr="00BD0208">
              <w:rPr>
                <w:rFonts w:ascii="Arial" w:hAnsi="Arial" w:cs="Arial"/>
                <w:sz w:val="20"/>
                <w:szCs w:val="20"/>
              </w:rPr>
              <w:t>v legislativním procesu schvalování (schváleno Poslaneckou sněmovnou)</w:t>
            </w:r>
          </w:p>
          <w:p w:rsidR="00AA1F50" w:rsidRPr="00BD0208" w:rsidRDefault="00AA1F50" w:rsidP="00AA1F50">
            <w:pPr>
              <w:pStyle w:val="Odstavecseseznamem"/>
              <w:numPr>
                <w:ilvl w:val="0"/>
                <w:numId w:val="19"/>
              </w:numPr>
              <w:spacing w:before="120" w:after="120" w:line="240" w:lineRule="auto"/>
              <w:rPr>
                <w:rFonts w:ascii="Arial" w:hAnsi="Arial" w:cs="Arial"/>
                <w:sz w:val="20"/>
                <w:szCs w:val="20"/>
              </w:rPr>
            </w:pPr>
            <w:r w:rsidRPr="00BD0208">
              <w:rPr>
                <w:rFonts w:ascii="Arial" w:hAnsi="Arial" w:cs="Arial"/>
                <w:sz w:val="20"/>
                <w:szCs w:val="20"/>
              </w:rPr>
              <w:t>po vzoru Pětadvacítky pro poškozené OSVČ půjde o přímou podporu vyplacenou formou kompenzačního bonusu ve výši 500 Kč denně za celkové období od 12. března do 8. června, tedy o max. 44 500 Kč.</w:t>
            </w:r>
          </w:p>
          <w:p w:rsidR="00AA1F50" w:rsidRPr="00BD0208" w:rsidRDefault="00AA1F50" w:rsidP="00AA1F50">
            <w:pPr>
              <w:pStyle w:val="Odstavecseseznamem"/>
              <w:numPr>
                <w:ilvl w:val="0"/>
                <w:numId w:val="19"/>
              </w:numPr>
              <w:spacing w:before="120" w:after="120" w:line="240" w:lineRule="auto"/>
              <w:rPr>
                <w:rFonts w:ascii="Arial" w:hAnsi="Arial" w:cs="Arial"/>
                <w:sz w:val="20"/>
                <w:szCs w:val="20"/>
              </w:rPr>
            </w:pPr>
            <w:r w:rsidRPr="00BD0208">
              <w:rPr>
                <w:rFonts w:ascii="Arial" w:hAnsi="Arial" w:cs="Arial"/>
                <w:sz w:val="20"/>
                <w:szCs w:val="20"/>
              </w:rPr>
              <w:t>okruh žadatelů se rozšiřuje i na fyzické osoby, které jsou společníky ve společnostech s ručením omezeným a jejichž podíl není představován kmenovým listem. Pomoc je namířena pro aktivní společníky v čele malých s.r.o., nikoliv pro firmy jako takové, ani pro pasivní investory. Pokud je žadatel společníkem ve více společnostech, ve kterých naplní podmínky programu, vznikne mu nárok na podporu pouze jednou.</w:t>
            </w:r>
          </w:p>
          <w:p w:rsidR="00AA1F50" w:rsidRPr="00BD0208" w:rsidRDefault="00AA1F50" w:rsidP="00AA1F50">
            <w:pPr>
              <w:spacing w:before="120" w:after="120" w:line="240" w:lineRule="auto"/>
              <w:ind w:left="-45"/>
              <w:rPr>
                <w:rFonts w:ascii="Arial" w:hAnsi="Arial" w:cs="Arial"/>
                <w:sz w:val="20"/>
                <w:szCs w:val="20"/>
              </w:rPr>
            </w:pPr>
            <w:r w:rsidRPr="00BD0208">
              <w:rPr>
                <w:rFonts w:ascii="Arial" w:hAnsi="Arial" w:cs="Arial"/>
                <w:sz w:val="20"/>
                <w:szCs w:val="20"/>
              </w:rPr>
              <w:t>Podmínky:</w:t>
            </w:r>
          </w:p>
          <w:p w:rsidR="00AA1F50" w:rsidRPr="00BD0208" w:rsidRDefault="00AA1F50" w:rsidP="00AA1F50">
            <w:pPr>
              <w:pStyle w:val="Odstavecseseznamem"/>
              <w:numPr>
                <w:ilvl w:val="0"/>
                <w:numId w:val="21"/>
              </w:numPr>
              <w:spacing w:before="120" w:after="120" w:line="240" w:lineRule="auto"/>
              <w:rPr>
                <w:rFonts w:ascii="Arial" w:hAnsi="Arial" w:cs="Arial"/>
                <w:sz w:val="20"/>
                <w:szCs w:val="20"/>
              </w:rPr>
            </w:pPr>
            <w:r w:rsidRPr="00BD0208">
              <w:rPr>
                <w:rFonts w:ascii="Arial" w:hAnsi="Arial" w:cs="Arial"/>
                <w:sz w:val="20"/>
                <w:szCs w:val="20"/>
              </w:rPr>
              <w:t>max. 2 společníci, případně i více, pakliže se jedná o členy jedné rodiny</w:t>
            </w:r>
          </w:p>
          <w:p w:rsidR="00AA1F50" w:rsidRPr="00BD0208" w:rsidRDefault="00AA1F50" w:rsidP="00AA1F50">
            <w:pPr>
              <w:pStyle w:val="Odstavecseseznamem"/>
              <w:numPr>
                <w:ilvl w:val="0"/>
                <w:numId w:val="21"/>
              </w:numPr>
              <w:spacing w:before="120" w:after="120" w:line="240" w:lineRule="auto"/>
              <w:rPr>
                <w:rFonts w:ascii="Arial" w:hAnsi="Arial" w:cs="Arial"/>
                <w:sz w:val="20"/>
                <w:szCs w:val="20"/>
              </w:rPr>
            </w:pPr>
            <w:r w:rsidRPr="00BD0208">
              <w:rPr>
                <w:rFonts w:ascii="Arial" w:hAnsi="Arial" w:cs="Arial"/>
                <w:sz w:val="20"/>
                <w:szCs w:val="20"/>
              </w:rPr>
              <w:t>minimální obrat společnosti bude 180 000 Kč za rok 2019 nebo předpoklad dosažení takového obratu v letech 2020 nebo 2021.</w:t>
            </w:r>
          </w:p>
          <w:p w:rsidR="00AA1F50" w:rsidRPr="00BD0208" w:rsidRDefault="00AA1F50" w:rsidP="00AA1F50">
            <w:pPr>
              <w:pStyle w:val="Odstavecseseznamem"/>
              <w:numPr>
                <w:ilvl w:val="0"/>
                <w:numId w:val="21"/>
              </w:numPr>
              <w:spacing w:before="120" w:after="120" w:line="240" w:lineRule="auto"/>
              <w:rPr>
                <w:rFonts w:ascii="Arial" w:hAnsi="Arial" w:cs="Arial"/>
                <w:sz w:val="20"/>
                <w:szCs w:val="20"/>
              </w:rPr>
            </w:pPr>
            <w:r w:rsidRPr="00BD0208">
              <w:rPr>
                <w:rFonts w:ascii="Arial" w:hAnsi="Arial" w:cs="Arial"/>
                <w:sz w:val="20"/>
                <w:szCs w:val="20"/>
              </w:rPr>
              <w:t>společnost musí být také daňovým rezidentem ČR, Evropské unie nebo Evropského hospodářského prostoru. Sám žadatel pak musí být ke dni 12. března aktivním společníkem dané firmy.</w:t>
            </w:r>
          </w:p>
          <w:p w:rsidR="00AA1F50" w:rsidRPr="00BD0208" w:rsidRDefault="00AA1F50" w:rsidP="00AA1F50">
            <w:pPr>
              <w:pStyle w:val="Odstavecseseznamem"/>
              <w:numPr>
                <w:ilvl w:val="0"/>
                <w:numId w:val="21"/>
              </w:numPr>
              <w:spacing w:before="120" w:after="120" w:line="240" w:lineRule="auto"/>
              <w:rPr>
                <w:rFonts w:ascii="Arial" w:hAnsi="Arial" w:cs="Arial"/>
                <w:sz w:val="20"/>
                <w:szCs w:val="20"/>
              </w:rPr>
            </w:pPr>
            <w:r w:rsidRPr="00BD0208">
              <w:rPr>
                <w:rFonts w:ascii="Arial" w:hAnsi="Arial" w:cs="Arial"/>
                <w:sz w:val="20"/>
                <w:szCs w:val="20"/>
              </w:rPr>
              <w:t xml:space="preserve">žadatel nesmí být současně zaměstnancem účastným na nemocenském pojištění a nesmí na sebe v daném období čerpat státní podporu zaměstnanosti, tzv. </w:t>
            </w:r>
            <w:proofErr w:type="spellStart"/>
            <w:r w:rsidRPr="00BD0208">
              <w:rPr>
                <w:rFonts w:ascii="Arial" w:hAnsi="Arial" w:cs="Arial"/>
                <w:sz w:val="20"/>
                <w:szCs w:val="20"/>
              </w:rPr>
              <w:t>kurzarbeit</w:t>
            </w:r>
            <w:proofErr w:type="spellEnd"/>
            <w:r w:rsidRPr="00BD0208">
              <w:rPr>
                <w:rFonts w:ascii="Arial" w:hAnsi="Arial" w:cs="Arial"/>
                <w:sz w:val="20"/>
                <w:szCs w:val="20"/>
              </w:rPr>
              <w:t>. Nesmí také jít o stejného žadatele, který již bonus čerpá z titulu OSVČ.</w:t>
            </w:r>
          </w:p>
          <w:p w:rsidR="00AA1F50" w:rsidRPr="00BD0208" w:rsidRDefault="00AA1F50" w:rsidP="00AA1F50">
            <w:pPr>
              <w:pStyle w:val="Odstavecseseznamem"/>
              <w:numPr>
                <w:ilvl w:val="0"/>
                <w:numId w:val="21"/>
              </w:numPr>
              <w:spacing w:before="120" w:after="120" w:line="240" w:lineRule="auto"/>
              <w:rPr>
                <w:rFonts w:ascii="Arial" w:hAnsi="Arial" w:cs="Arial"/>
                <w:sz w:val="20"/>
                <w:szCs w:val="20"/>
              </w:rPr>
            </w:pPr>
            <w:r w:rsidRPr="00BD0208">
              <w:rPr>
                <w:rFonts w:ascii="Arial" w:hAnsi="Arial" w:cs="Arial"/>
                <w:sz w:val="20"/>
                <w:szCs w:val="20"/>
              </w:rPr>
              <w:t xml:space="preserve">nárok nevzniká ani společníkům ve společnostech, které byly v bonusovém období v úpadku, v likvidaci nebo nespolehlivým plátcem (nespolehlivou osobou) podle zákona o DPH. </w:t>
            </w:r>
          </w:p>
        </w:tc>
        <w:tc>
          <w:tcPr>
            <w:tcW w:w="4536" w:type="dxa"/>
            <w:shd w:val="clear" w:color="auto" w:fill="auto"/>
          </w:tcPr>
          <w:p w:rsidR="00AA1F50" w:rsidRDefault="00AA1F50" w:rsidP="00692768">
            <w:pPr>
              <w:spacing w:before="120" w:after="120" w:line="240" w:lineRule="auto"/>
            </w:pPr>
          </w:p>
        </w:tc>
      </w:tr>
      <w:tr w:rsidR="00692768" w:rsidRPr="00565B06" w:rsidTr="00CF249B">
        <w:trPr>
          <w:trHeight w:val="578"/>
        </w:trPr>
        <w:tc>
          <w:tcPr>
            <w:tcW w:w="1917" w:type="dxa"/>
            <w:shd w:val="clear" w:color="auto" w:fill="auto"/>
          </w:tcPr>
          <w:p w:rsidR="00692768" w:rsidRPr="00565B06" w:rsidRDefault="00692768" w:rsidP="00692768">
            <w:pPr>
              <w:spacing w:before="120" w:after="120" w:line="240" w:lineRule="auto"/>
              <w:rPr>
                <w:rFonts w:ascii="Arial" w:hAnsi="Arial" w:cs="Arial"/>
                <w:b/>
                <w:sz w:val="20"/>
                <w:szCs w:val="20"/>
              </w:rPr>
            </w:pPr>
            <w:r w:rsidRPr="00565B06">
              <w:rPr>
                <w:rFonts w:ascii="Arial" w:hAnsi="Arial" w:cs="Arial"/>
                <w:b/>
                <w:sz w:val="20"/>
                <w:szCs w:val="20"/>
              </w:rPr>
              <w:t>Liberační daňový balíček I.</w:t>
            </w:r>
          </w:p>
          <w:p w:rsidR="00692768" w:rsidRPr="00565B06" w:rsidRDefault="00692768" w:rsidP="00692768">
            <w:pPr>
              <w:spacing w:before="120" w:after="120" w:line="240" w:lineRule="auto"/>
              <w:rPr>
                <w:rFonts w:ascii="Arial" w:hAnsi="Arial" w:cs="Arial"/>
                <w:sz w:val="20"/>
                <w:szCs w:val="20"/>
              </w:rPr>
            </w:pPr>
          </w:p>
        </w:tc>
        <w:tc>
          <w:tcPr>
            <w:tcW w:w="9560" w:type="dxa"/>
            <w:shd w:val="clear" w:color="auto" w:fill="auto"/>
          </w:tcPr>
          <w:p w:rsidR="00692768" w:rsidRPr="003B1F80" w:rsidRDefault="00692768" w:rsidP="00692768">
            <w:pPr>
              <w:pStyle w:val="Odstavecseseznamem"/>
              <w:numPr>
                <w:ilvl w:val="0"/>
                <w:numId w:val="15"/>
              </w:numPr>
              <w:spacing w:before="120" w:after="120" w:line="240" w:lineRule="auto"/>
              <w:rPr>
                <w:rFonts w:ascii="Arial" w:hAnsi="Arial" w:cs="Arial"/>
                <w:sz w:val="20"/>
                <w:szCs w:val="20"/>
              </w:rPr>
            </w:pPr>
            <w:r w:rsidRPr="007C7313">
              <w:rPr>
                <w:rFonts w:ascii="Arial" w:hAnsi="Arial" w:cs="Arial"/>
                <w:b/>
                <w:sz w:val="20"/>
                <w:szCs w:val="20"/>
              </w:rPr>
              <w:t>Plošné prominutí pokuty za opožděné podání přiznání k dani z příjmu fyzických osob a právnických osob</w:t>
            </w:r>
            <w:r w:rsidRPr="003B1F80">
              <w:rPr>
                <w:rFonts w:ascii="Arial" w:hAnsi="Arial" w:cs="Arial"/>
                <w:sz w:val="20"/>
                <w:szCs w:val="20"/>
              </w:rPr>
              <w:t xml:space="preserve"> a úroku z prodlení, a to nejdéle do 1. července 2020. Fakticky bude tedy všem daňovým poplatníkům (fyzickým osobám i podnikatelům) automaticky umožněno podat daňové přiznání k dani z příjmu a uhradit tuto daň bez jakékoliv sankce nejdéle o 3 měsíce později, a to bez </w:t>
            </w:r>
            <w:r w:rsidRPr="003B1F80">
              <w:rPr>
                <w:rFonts w:ascii="Arial" w:hAnsi="Arial" w:cs="Arial"/>
                <w:sz w:val="20"/>
                <w:szCs w:val="20"/>
              </w:rPr>
              <w:lastRenderedPageBreak/>
              <w:t xml:space="preserve">nutnosti prokazovat důvody související s </w:t>
            </w:r>
            <w:proofErr w:type="spellStart"/>
            <w:r w:rsidRPr="003B1F80">
              <w:rPr>
                <w:rFonts w:ascii="Arial" w:hAnsi="Arial" w:cs="Arial"/>
                <w:sz w:val="20"/>
                <w:szCs w:val="20"/>
              </w:rPr>
              <w:t>koronavirem</w:t>
            </w:r>
            <w:proofErr w:type="spellEnd"/>
            <w:r w:rsidRPr="003B1F80">
              <w:rPr>
                <w:rFonts w:ascii="Arial" w:hAnsi="Arial" w:cs="Arial"/>
                <w:sz w:val="20"/>
                <w:szCs w:val="20"/>
              </w:rPr>
              <w:t xml:space="preserve">. Hlavním cílem je zamezit na finančních úřadech, resp. na poštách koncentraci fyzických osob, které nemají povinnost činit podání daňového přiznání elektronicky. </w:t>
            </w:r>
          </w:p>
          <w:p w:rsidR="00692768" w:rsidRPr="003B1F80" w:rsidRDefault="00692768" w:rsidP="00692768">
            <w:pPr>
              <w:pStyle w:val="Odstavecseseznamem"/>
              <w:numPr>
                <w:ilvl w:val="0"/>
                <w:numId w:val="15"/>
              </w:numPr>
              <w:spacing w:before="120" w:after="120" w:line="240" w:lineRule="auto"/>
              <w:rPr>
                <w:rFonts w:ascii="Arial" w:hAnsi="Arial" w:cs="Arial"/>
                <w:sz w:val="20"/>
                <w:szCs w:val="20"/>
              </w:rPr>
            </w:pPr>
            <w:r w:rsidRPr="007C7313">
              <w:rPr>
                <w:rFonts w:ascii="Arial" w:hAnsi="Arial" w:cs="Arial"/>
                <w:b/>
                <w:sz w:val="20"/>
                <w:szCs w:val="20"/>
              </w:rPr>
              <w:t xml:space="preserve">Prominutí pokuty za opožděné tvrzení daně </w:t>
            </w:r>
            <w:r w:rsidRPr="003B1F80">
              <w:rPr>
                <w:rFonts w:ascii="Arial" w:hAnsi="Arial" w:cs="Arial"/>
                <w:sz w:val="20"/>
                <w:szCs w:val="20"/>
              </w:rPr>
              <w:t xml:space="preserve">ve všech případech, kdy je daňovému subjektu individuálně prominut úrok z prodlení nebo o posečkání, splátkování daně anebo pokuta za nepodání kontrolního hlášení v souvislosti s </w:t>
            </w:r>
            <w:proofErr w:type="spellStart"/>
            <w:r w:rsidRPr="003B1F80">
              <w:rPr>
                <w:rFonts w:ascii="Arial" w:hAnsi="Arial" w:cs="Arial"/>
                <w:sz w:val="20"/>
                <w:szCs w:val="20"/>
              </w:rPr>
              <w:t>koronavirem</w:t>
            </w:r>
            <w:proofErr w:type="spellEnd"/>
            <w:r w:rsidRPr="003B1F80">
              <w:rPr>
                <w:rFonts w:ascii="Arial" w:hAnsi="Arial" w:cs="Arial"/>
                <w:sz w:val="20"/>
                <w:szCs w:val="20"/>
              </w:rPr>
              <w:t>. Typicky se může jednat o onemocnění či karanténu účetní nebo dalších klíčových zaměstnanců, jejichž absence znemožnila plnění daňové povinnosti. Toto opatření dopadne na všechny daně spravované orgány podřízenými Ministerstvu financí a na všechny daňové subjekty (fyzické osoby i podnikatele).</w:t>
            </w:r>
          </w:p>
          <w:p w:rsidR="00692768" w:rsidRPr="003B1F80" w:rsidRDefault="00692768" w:rsidP="00692768">
            <w:pPr>
              <w:pStyle w:val="Odstavecseseznamem"/>
              <w:numPr>
                <w:ilvl w:val="0"/>
                <w:numId w:val="15"/>
              </w:numPr>
              <w:spacing w:before="120" w:after="120" w:line="240" w:lineRule="auto"/>
              <w:rPr>
                <w:rFonts w:ascii="Arial" w:hAnsi="Arial" w:cs="Arial"/>
                <w:sz w:val="20"/>
                <w:szCs w:val="20"/>
              </w:rPr>
            </w:pPr>
            <w:r w:rsidRPr="007C7313">
              <w:rPr>
                <w:rFonts w:ascii="Arial" w:hAnsi="Arial" w:cs="Arial"/>
                <w:b/>
                <w:sz w:val="20"/>
                <w:szCs w:val="20"/>
              </w:rPr>
              <w:t>Plošné prominutí pokut za opožděné podání kontrolního hlášení ve výši 1 000 Kč, které vznikly mezi 1. březnem a 31. červencem 2020</w:t>
            </w:r>
            <w:r w:rsidRPr="003B1F80">
              <w:rPr>
                <w:rFonts w:ascii="Arial" w:hAnsi="Arial" w:cs="Arial"/>
                <w:sz w:val="20"/>
                <w:szCs w:val="20"/>
              </w:rPr>
              <w:t xml:space="preserve">. </w:t>
            </w:r>
          </w:p>
          <w:p w:rsidR="00692768" w:rsidRDefault="00692768" w:rsidP="00692768">
            <w:pPr>
              <w:pStyle w:val="Odstavecseseznamem"/>
              <w:numPr>
                <w:ilvl w:val="0"/>
                <w:numId w:val="15"/>
              </w:numPr>
              <w:spacing w:before="120" w:after="120" w:line="240" w:lineRule="auto"/>
              <w:rPr>
                <w:rFonts w:ascii="Arial" w:hAnsi="Arial" w:cs="Arial"/>
                <w:sz w:val="20"/>
                <w:szCs w:val="20"/>
              </w:rPr>
            </w:pPr>
            <w:r w:rsidRPr="003B1F80">
              <w:rPr>
                <w:rFonts w:ascii="Arial" w:hAnsi="Arial" w:cs="Arial"/>
                <w:sz w:val="20"/>
                <w:szCs w:val="20"/>
              </w:rPr>
              <w:t xml:space="preserve">Ze strany Generálního finančního ředitelství bude vydán pokyn tak, aby bylo možné </w:t>
            </w:r>
            <w:r w:rsidRPr="007C7313">
              <w:rPr>
                <w:rFonts w:ascii="Arial" w:hAnsi="Arial" w:cs="Arial"/>
                <w:b/>
                <w:sz w:val="20"/>
                <w:szCs w:val="20"/>
              </w:rPr>
              <w:t>individuálně prominout pokuty za nepodání kontrolního hlášení, a to pro období od 1. března do 31. července,</w:t>
            </w:r>
            <w:r w:rsidRPr="003B1F80">
              <w:rPr>
                <w:rFonts w:ascii="Arial" w:hAnsi="Arial" w:cs="Arial"/>
                <w:sz w:val="20"/>
                <w:szCs w:val="20"/>
              </w:rPr>
              <w:t xml:space="preserve"> pokud bude prokázána spojitost s </w:t>
            </w:r>
            <w:proofErr w:type="spellStart"/>
            <w:r w:rsidRPr="003B1F80">
              <w:rPr>
                <w:rFonts w:ascii="Arial" w:hAnsi="Arial" w:cs="Arial"/>
                <w:sz w:val="20"/>
                <w:szCs w:val="20"/>
              </w:rPr>
              <w:t>koronavirem</w:t>
            </w:r>
            <w:proofErr w:type="spellEnd"/>
            <w:r w:rsidRPr="003B1F80">
              <w:rPr>
                <w:rFonts w:ascii="Arial" w:hAnsi="Arial" w:cs="Arial"/>
                <w:sz w:val="20"/>
                <w:szCs w:val="20"/>
              </w:rPr>
              <w:t>.</w:t>
            </w:r>
          </w:p>
          <w:p w:rsidR="00692768" w:rsidRPr="00B61342" w:rsidRDefault="00692768" w:rsidP="00692768">
            <w:pPr>
              <w:pStyle w:val="Odstavecseseznamem"/>
              <w:numPr>
                <w:ilvl w:val="0"/>
                <w:numId w:val="15"/>
              </w:numPr>
              <w:spacing w:before="120" w:after="120" w:line="240" w:lineRule="auto"/>
              <w:rPr>
                <w:rFonts w:ascii="Arial" w:hAnsi="Arial" w:cs="Arial"/>
                <w:sz w:val="20"/>
                <w:szCs w:val="20"/>
              </w:rPr>
            </w:pPr>
            <w:r w:rsidRPr="00B61342">
              <w:rPr>
                <w:rFonts w:ascii="Arial" w:hAnsi="Arial" w:cs="Arial"/>
                <w:b/>
                <w:sz w:val="20"/>
                <w:szCs w:val="20"/>
              </w:rPr>
              <w:t xml:space="preserve">Plošné prominutí správního poplatku </w:t>
            </w:r>
            <w:r w:rsidRPr="00B61342">
              <w:rPr>
                <w:rFonts w:ascii="Arial" w:hAnsi="Arial" w:cs="Arial"/>
                <w:sz w:val="20"/>
                <w:szCs w:val="20"/>
              </w:rPr>
              <w:t>za podání žádosti o posečkání nebo splátkování daně, žádosti o prominutí úroku z prodlení, resp. z posečkané částky, a žádosti o prominutí pokuty za nepodání kontrolního hlášení, a to pro žádosti podané do 31. července.</w:t>
            </w:r>
          </w:p>
        </w:tc>
        <w:tc>
          <w:tcPr>
            <w:tcW w:w="4536" w:type="dxa"/>
            <w:shd w:val="clear" w:color="auto" w:fill="auto"/>
          </w:tcPr>
          <w:p w:rsidR="00692768" w:rsidRPr="003B1F80" w:rsidRDefault="006C0A05" w:rsidP="00692768">
            <w:pPr>
              <w:spacing w:before="120" w:after="120" w:line="240" w:lineRule="auto"/>
              <w:rPr>
                <w:rStyle w:val="Hypertextovodkaz"/>
                <w:rFonts w:ascii="Arial" w:hAnsi="Arial" w:cs="Arial"/>
                <w:color w:val="000000" w:themeColor="text1"/>
                <w:sz w:val="20"/>
                <w:szCs w:val="20"/>
                <w:u w:val="none"/>
              </w:rPr>
            </w:pPr>
            <w:hyperlink r:id="rId8" w:history="1">
              <w:r w:rsidR="00692768" w:rsidRPr="003B1F80">
                <w:rPr>
                  <w:rStyle w:val="Hypertextovodkaz"/>
                  <w:rFonts w:ascii="Arial" w:hAnsi="Arial" w:cs="Arial"/>
                  <w:sz w:val="20"/>
                  <w:szCs w:val="20"/>
                </w:rPr>
                <w:t>https://www.financnisprava.cz/</w:t>
              </w:r>
            </w:hyperlink>
            <w:r w:rsidR="00692768" w:rsidRPr="003B1F80">
              <w:rPr>
                <w:rStyle w:val="Hypertextovodkaz"/>
                <w:rFonts w:ascii="Arial" w:hAnsi="Arial" w:cs="Arial"/>
                <w:sz w:val="20"/>
                <w:szCs w:val="20"/>
              </w:rPr>
              <w:t xml:space="preserve"> v části Nouzový stav (COVID – 19)</w:t>
            </w:r>
          </w:p>
          <w:p w:rsidR="00692768" w:rsidRPr="00565B06" w:rsidRDefault="006C0A05" w:rsidP="00692768">
            <w:pPr>
              <w:spacing w:before="120" w:after="120" w:line="240" w:lineRule="auto"/>
              <w:rPr>
                <w:rFonts w:ascii="Arial" w:hAnsi="Arial" w:cs="Arial"/>
                <w:sz w:val="20"/>
                <w:szCs w:val="20"/>
              </w:rPr>
            </w:pPr>
            <w:hyperlink r:id="rId9" w:history="1">
              <w:r w:rsidR="00692768" w:rsidRPr="003B1F80">
                <w:rPr>
                  <w:rStyle w:val="Hypertextovodkaz"/>
                  <w:rFonts w:ascii="Arial" w:hAnsi="Arial" w:cs="Arial"/>
                  <w:sz w:val="20"/>
                  <w:szCs w:val="20"/>
                </w:rPr>
                <w:t>https://www.mfcr.cz/cs/aktualne/tiskove-zpravy/2020/ulevy-v-danove-oblasti-se-rozsiri-37943</w:t>
              </w:r>
            </w:hyperlink>
          </w:p>
        </w:tc>
      </w:tr>
      <w:tr w:rsidR="00692768" w:rsidRPr="00565B06" w:rsidTr="00CF249B">
        <w:trPr>
          <w:trHeight w:val="578"/>
        </w:trPr>
        <w:tc>
          <w:tcPr>
            <w:tcW w:w="1917" w:type="dxa"/>
            <w:shd w:val="clear" w:color="auto" w:fill="auto"/>
          </w:tcPr>
          <w:p w:rsidR="00692768" w:rsidRPr="00565B06" w:rsidRDefault="00692768" w:rsidP="00692768">
            <w:pPr>
              <w:spacing w:before="120" w:after="120" w:line="240" w:lineRule="auto"/>
              <w:rPr>
                <w:rFonts w:ascii="Arial" w:hAnsi="Arial" w:cs="Arial"/>
                <w:b/>
                <w:sz w:val="20"/>
                <w:szCs w:val="20"/>
              </w:rPr>
            </w:pPr>
            <w:r w:rsidRPr="00565B06">
              <w:rPr>
                <w:rFonts w:ascii="Arial" w:hAnsi="Arial" w:cs="Arial"/>
                <w:b/>
                <w:sz w:val="20"/>
                <w:szCs w:val="20"/>
              </w:rPr>
              <w:lastRenderedPageBreak/>
              <w:t>Liberační daňový balíček II.</w:t>
            </w:r>
          </w:p>
          <w:p w:rsidR="00692768" w:rsidRPr="00565B06" w:rsidRDefault="00692768" w:rsidP="00692768">
            <w:pPr>
              <w:spacing w:before="120" w:after="120" w:line="240" w:lineRule="auto"/>
              <w:rPr>
                <w:rFonts w:ascii="Arial" w:hAnsi="Arial" w:cs="Arial"/>
                <w:b/>
                <w:sz w:val="20"/>
                <w:szCs w:val="20"/>
              </w:rPr>
            </w:pPr>
          </w:p>
        </w:tc>
        <w:tc>
          <w:tcPr>
            <w:tcW w:w="9560" w:type="dxa"/>
            <w:shd w:val="clear" w:color="auto" w:fill="auto"/>
          </w:tcPr>
          <w:p w:rsidR="00692768" w:rsidRPr="003B1F80" w:rsidRDefault="00692768" w:rsidP="00692768">
            <w:pPr>
              <w:pStyle w:val="Odstavecseseznamem"/>
              <w:numPr>
                <w:ilvl w:val="0"/>
                <w:numId w:val="16"/>
              </w:numPr>
              <w:spacing w:before="120" w:after="120" w:line="240" w:lineRule="auto"/>
              <w:rPr>
                <w:rFonts w:ascii="Arial" w:hAnsi="Arial" w:cs="Arial"/>
                <w:sz w:val="20"/>
                <w:szCs w:val="20"/>
              </w:rPr>
            </w:pPr>
            <w:r w:rsidRPr="007C7313">
              <w:rPr>
                <w:rFonts w:ascii="Arial" w:hAnsi="Arial" w:cs="Arial"/>
                <w:b/>
                <w:sz w:val="20"/>
                <w:szCs w:val="20"/>
              </w:rPr>
              <w:t>Prominutí červnové zálohy na daň z příjmů fyzických a právnických osob</w:t>
            </w:r>
            <w:r w:rsidRPr="003B1F80">
              <w:rPr>
                <w:rFonts w:ascii="Arial" w:hAnsi="Arial" w:cs="Arial"/>
                <w:sz w:val="20"/>
                <w:szCs w:val="20"/>
              </w:rPr>
              <w:t>. Červnová záloha (tj. druhá záloha u kvartálních plátců a první záloha v případě pololetních plátců), se nebude vůbec hradit.</w:t>
            </w:r>
          </w:p>
          <w:p w:rsidR="00692768" w:rsidRPr="003B1F80" w:rsidRDefault="00692768" w:rsidP="00692768">
            <w:pPr>
              <w:pStyle w:val="Odstavecseseznamem"/>
              <w:numPr>
                <w:ilvl w:val="0"/>
                <w:numId w:val="16"/>
              </w:numPr>
              <w:spacing w:before="120" w:after="120" w:line="240" w:lineRule="auto"/>
              <w:rPr>
                <w:rFonts w:ascii="Arial" w:hAnsi="Arial" w:cs="Arial"/>
                <w:sz w:val="20"/>
                <w:szCs w:val="20"/>
              </w:rPr>
            </w:pPr>
            <w:r w:rsidRPr="007C7313">
              <w:rPr>
                <w:rFonts w:ascii="Arial" w:hAnsi="Arial" w:cs="Arial"/>
                <w:b/>
                <w:sz w:val="20"/>
                <w:szCs w:val="20"/>
              </w:rPr>
              <w:t>Plošné prominutí pokuty za pozdě podané daňové přiznání k dani z nabytí nemovitých věcí či za pozdě uhrazenou daň z nabytí nemovitých věcí nebo zálohu na tuto daň</w:t>
            </w:r>
            <w:r w:rsidRPr="003B1F80">
              <w:rPr>
                <w:rFonts w:ascii="Arial" w:hAnsi="Arial" w:cs="Arial"/>
                <w:sz w:val="20"/>
                <w:szCs w:val="20"/>
              </w:rPr>
              <w:t xml:space="preserve">. Prominutí se vztahuje na všechna opožděná daňová přiznání s lhůtou podání v termínu od 31. 3. do 31. 7. 2020. Daňové přiznání k dani z nabytí nemovitých věcí může být bez hrozby sankce podáno nejpozději do 31. 8. 2020. Současně platí, že v těchto případech budou prominuty také úroky z prodlení nebo úroky z posečkání daně z nabytí nemovitých věcí. Fakticky bude tedy všem daňovým poplatníkům automaticky umožněno podat daňové přiznání k dani z nabytí domů, bytů, pozemků, garáží a podobně a uhradit tuto daň až o pět měsíců později. </w:t>
            </w:r>
          </w:p>
          <w:p w:rsidR="00692768" w:rsidRPr="007C7313" w:rsidRDefault="00692768" w:rsidP="00692768">
            <w:pPr>
              <w:pStyle w:val="Odstavecseseznamem"/>
              <w:numPr>
                <w:ilvl w:val="0"/>
                <w:numId w:val="16"/>
              </w:numPr>
              <w:spacing w:before="120" w:after="120" w:line="240" w:lineRule="auto"/>
              <w:rPr>
                <w:rFonts w:ascii="Arial" w:hAnsi="Arial" w:cs="Arial"/>
                <w:sz w:val="20"/>
                <w:szCs w:val="20"/>
              </w:rPr>
            </w:pPr>
            <w:r w:rsidRPr="007C7313">
              <w:rPr>
                <w:rFonts w:ascii="Arial" w:hAnsi="Arial" w:cs="Arial"/>
                <w:b/>
                <w:sz w:val="20"/>
                <w:szCs w:val="20"/>
              </w:rPr>
              <w:t xml:space="preserve">Zavedení institutu </w:t>
            </w:r>
            <w:proofErr w:type="spellStart"/>
            <w:r w:rsidRPr="007C7313">
              <w:rPr>
                <w:rFonts w:ascii="Arial" w:hAnsi="Arial" w:cs="Arial"/>
                <w:b/>
                <w:sz w:val="20"/>
                <w:szCs w:val="20"/>
              </w:rPr>
              <w:t>Loss</w:t>
            </w:r>
            <w:proofErr w:type="spellEnd"/>
            <w:r w:rsidRPr="007C7313">
              <w:rPr>
                <w:rFonts w:ascii="Arial" w:hAnsi="Arial" w:cs="Arial"/>
                <w:b/>
                <w:sz w:val="20"/>
                <w:szCs w:val="20"/>
              </w:rPr>
              <w:t xml:space="preserve"> </w:t>
            </w:r>
            <w:proofErr w:type="spellStart"/>
            <w:r w:rsidRPr="007C7313">
              <w:rPr>
                <w:rFonts w:ascii="Arial" w:hAnsi="Arial" w:cs="Arial"/>
                <w:b/>
                <w:sz w:val="20"/>
                <w:szCs w:val="20"/>
              </w:rPr>
              <w:t>carryback</w:t>
            </w:r>
            <w:proofErr w:type="spellEnd"/>
            <w:r w:rsidRPr="007C7313">
              <w:rPr>
                <w:rFonts w:ascii="Arial" w:hAnsi="Arial" w:cs="Arial"/>
                <w:sz w:val="20"/>
                <w:szCs w:val="20"/>
              </w:rPr>
              <w:t xml:space="preserve"> (zpětné působení daňové ztráty) u daně z příjmů FO i PO za rok 2020. Bude ji možné zpětně uplatnit v daňovém přiznání za rok 2019 a 2018.</w:t>
            </w:r>
          </w:p>
          <w:p w:rsidR="00692768" w:rsidRPr="003B1F80" w:rsidRDefault="00692768" w:rsidP="00692768">
            <w:pPr>
              <w:pStyle w:val="Odstavecseseznamem"/>
              <w:numPr>
                <w:ilvl w:val="0"/>
                <w:numId w:val="16"/>
              </w:numPr>
              <w:spacing w:before="120" w:after="120" w:line="240" w:lineRule="auto"/>
              <w:rPr>
                <w:rFonts w:ascii="Arial" w:hAnsi="Arial" w:cs="Arial"/>
                <w:sz w:val="20"/>
                <w:szCs w:val="20"/>
              </w:rPr>
            </w:pPr>
            <w:r w:rsidRPr="007C7313">
              <w:rPr>
                <w:rFonts w:ascii="Arial" w:hAnsi="Arial" w:cs="Arial"/>
                <w:b/>
                <w:sz w:val="20"/>
                <w:szCs w:val="20"/>
              </w:rPr>
              <w:t>Pozastavení povinnosti elektronicky evidovat tržby pro subjekty spadající do všech fází EET</w:t>
            </w:r>
            <w:r w:rsidRPr="003B1F80">
              <w:rPr>
                <w:rFonts w:ascii="Arial" w:hAnsi="Arial" w:cs="Arial"/>
                <w:sz w:val="20"/>
                <w:szCs w:val="20"/>
              </w:rPr>
              <w:t xml:space="preserve">, a to </w:t>
            </w:r>
            <w:r w:rsidR="009A2175">
              <w:rPr>
                <w:rFonts w:ascii="Arial" w:hAnsi="Arial" w:cs="Arial"/>
                <w:sz w:val="20"/>
                <w:szCs w:val="20"/>
              </w:rPr>
              <w:t>do 1. ledna 2021</w:t>
            </w:r>
            <w:r w:rsidRPr="003B1F80">
              <w:rPr>
                <w:rFonts w:ascii="Arial" w:hAnsi="Arial" w:cs="Arial"/>
                <w:sz w:val="20"/>
                <w:szCs w:val="20"/>
              </w:rPr>
              <w:t>.</w:t>
            </w:r>
          </w:p>
          <w:p w:rsidR="00692768" w:rsidRDefault="00692768" w:rsidP="00692768">
            <w:pPr>
              <w:pStyle w:val="Odstavecseseznamem"/>
              <w:numPr>
                <w:ilvl w:val="0"/>
                <w:numId w:val="16"/>
              </w:numPr>
              <w:spacing w:before="120" w:after="120" w:line="240" w:lineRule="auto"/>
              <w:rPr>
                <w:rFonts w:ascii="Arial" w:hAnsi="Arial" w:cs="Arial"/>
                <w:sz w:val="20"/>
                <w:szCs w:val="20"/>
              </w:rPr>
            </w:pPr>
            <w:r w:rsidRPr="007C7313">
              <w:rPr>
                <w:rFonts w:ascii="Arial" w:hAnsi="Arial" w:cs="Arial"/>
                <w:b/>
                <w:sz w:val="20"/>
                <w:szCs w:val="20"/>
              </w:rPr>
              <w:t>Plošné posunutí úhrady záloh splatných v dubnu a v červenci na silniční daň, a to nejpozději do 15. října 2020.</w:t>
            </w:r>
            <w:r w:rsidRPr="003B1F80">
              <w:rPr>
                <w:rFonts w:ascii="Arial" w:hAnsi="Arial" w:cs="Arial"/>
                <w:sz w:val="20"/>
                <w:szCs w:val="20"/>
              </w:rPr>
              <w:t xml:space="preserve"> U všech takto zpožděných úhrad bude automaticky prominuto příslušenství daně, tedy všechny úroky z prodlení a z posečkání.</w:t>
            </w:r>
          </w:p>
          <w:p w:rsidR="00257DE5" w:rsidRPr="003B1F80" w:rsidRDefault="00257DE5" w:rsidP="00692768">
            <w:pPr>
              <w:pStyle w:val="Odstavecseseznamem"/>
              <w:numPr>
                <w:ilvl w:val="0"/>
                <w:numId w:val="16"/>
              </w:numPr>
              <w:spacing w:before="120" w:after="120" w:line="240" w:lineRule="auto"/>
              <w:rPr>
                <w:rFonts w:ascii="Arial" w:hAnsi="Arial" w:cs="Arial"/>
                <w:sz w:val="20"/>
                <w:szCs w:val="20"/>
              </w:rPr>
            </w:pPr>
            <w:r>
              <w:rPr>
                <w:rFonts w:ascii="Arial" w:hAnsi="Arial" w:cs="Arial"/>
                <w:b/>
                <w:sz w:val="20"/>
                <w:szCs w:val="20"/>
              </w:rPr>
              <w:t>Odklad plateb za mýto</w:t>
            </w:r>
            <w:r w:rsidR="006914BE">
              <w:rPr>
                <w:rFonts w:ascii="Arial" w:hAnsi="Arial" w:cs="Arial"/>
                <w:b/>
                <w:sz w:val="20"/>
                <w:szCs w:val="20"/>
              </w:rPr>
              <w:t xml:space="preserve"> </w:t>
            </w:r>
            <w:r w:rsidR="006914BE">
              <w:rPr>
                <w:rFonts w:ascii="Arial" w:hAnsi="Arial" w:cs="Arial"/>
                <w:sz w:val="20"/>
                <w:szCs w:val="20"/>
              </w:rPr>
              <w:t>-</w:t>
            </w:r>
            <w:r w:rsidR="006914BE">
              <w:t xml:space="preserve"> </w:t>
            </w:r>
            <w:r w:rsidR="006914BE">
              <w:rPr>
                <w:rFonts w:ascii="Arial" w:hAnsi="Arial" w:cs="Arial"/>
                <w:sz w:val="20"/>
                <w:szCs w:val="20"/>
              </w:rPr>
              <w:t>f</w:t>
            </w:r>
            <w:r w:rsidR="006914BE" w:rsidRPr="006914BE">
              <w:rPr>
                <w:rFonts w:ascii="Arial" w:hAnsi="Arial" w:cs="Arial"/>
                <w:sz w:val="20"/>
                <w:szCs w:val="20"/>
              </w:rPr>
              <w:t xml:space="preserve">aktury za platbu mýta pro kamiony </w:t>
            </w:r>
            <w:r w:rsidR="006914BE">
              <w:rPr>
                <w:rFonts w:ascii="Arial" w:hAnsi="Arial" w:cs="Arial"/>
                <w:sz w:val="20"/>
                <w:szCs w:val="20"/>
              </w:rPr>
              <w:t xml:space="preserve">je </w:t>
            </w:r>
            <w:r w:rsidR="006914BE" w:rsidRPr="006914BE">
              <w:rPr>
                <w:rFonts w:ascii="Arial" w:hAnsi="Arial" w:cs="Arial"/>
                <w:sz w:val="20"/>
                <w:szCs w:val="20"/>
              </w:rPr>
              <w:t>možné uhradit ve lhůtě 3 měsíců, a to u vozidel v režimu následného placení (na fakturu) a pro období 1. 4. – 31.</w:t>
            </w:r>
            <w:r w:rsidR="006914BE">
              <w:rPr>
                <w:rFonts w:ascii="Arial" w:hAnsi="Arial" w:cs="Arial"/>
                <w:sz w:val="20"/>
                <w:szCs w:val="20"/>
              </w:rPr>
              <w:t xml:space="preserve"> 7. 2020.</w:t>
            </w:r>
          </w:p>
          <w:p w:rsidR="00692768" w:rsidRPr="003B1F80" w:rsidRDefault="00692768" w:rsidP="00692768">
            <w:pPr>
              <w:pStyle w:val="Odstavecseseznamem"/>
              <w:numPr>
                <w:ilvl w:val="0"/>
                <w:numId w:val="16"/>
              </w:numPr>
              <w:spacing w:before="120" w:after="120" w:line="240" w:lineRule="auto"/>
              <w:rPr>
                <w:rFonts w:ascii="Arial" w:hAnsi="Arial" w:cs="Arial"/>
                <w:sz w:val="20"/>
                <w:szCs w:val="20"/>
              </w:rPr>
            </w:pPr>
            <w:r w:rsidRPr="007C7313">
              <w:rPr>
                <w:rFonts w:ascii="Arial" w:hAnsi="Arial" w:cs="Arial"/>
                <w:b/>
                <w:sz w:val="20"/>
                <w:szCs w:val="20"/>
              </w:rPr>
              <w:t>Plošné prominutí daně z přidané hodnoty na bezúplatné dodání základních ochranných prostředků</w:t>
            </w:r>
            <w:r w:rsidRPr="003B1F80">
              <w:rPr>
                <w:rFonts w:ascii="Arial" w:hAnsi="Arial" w:cs="Arial"/>
                <w:sz w:val="20"/>
                <w:szCs w:val="20"/>
              </w:rPr>
              <w:t xml:space="preserve"> ke zmírnění dopadů šíření nákazy </w:t>
            </w:r>
            <w:proofErr w:type="spellStart"/>
            <w:r w:rsidRPr="003B1F80">
              <w:rPr>
                <w:rFonts w:ascii="Arial" w:hAnsi="Arial" w:cs="Arial"/>
                <w:sz w:val="20"/>
                <w:szCs w:val="20"/>
              </w:rPr>
              <w:t>koronavirem</w:t>
            </w:r>
            <w:proofErr w:type="spellEnd"/>
            <w:r w:rsidRPr="003B1F80">
              <w:rPr>
                <w:rFonts w:ascii="Arial" w:hAnsi="Arial" w:cs="Arial"/>
                <w:sz w:val="20"/>
                <w:szCs w:val="20"/>
              </w:rPr>
              <w:t xml:space="preserve">. Toto prominutí se vztahuje na roušky, respirátory a další ochranné pomůcky. Dále se vztahuje na dezinfekční prostředky a také na suroviny </w:t>
            </w:r>
            <w:r w:rsidRPr="003B1F80">
              <w:rPr>
                <w:rFonts w:ascii="Arial" w:hAnsi="Arial" w:cs="Arial"/>
                <w:sz w:val="20"/>
                <w:szCs w:val="20"/>
              </w:rPr>
              <w:lastRenderedPageBreak/>
              <w:t>pro jejich výrobu. Prominutí daně platí na období od 12. března 2020 po celou dobu trvání nouzového stavu.</w:t>
            </w:r>
          </w:p>
          <w:p w:rsidR="00692768" w:rsidRPr="003B1F80" w:rsidRDefault="00692768" w:rsidP="00692768">
            <w:pPr>
              <w:pStyle w:val="Odstavecseseznamem"/>
              <w:numPr>
                <w:ilvl w:val="0"/>
                <w:numId w:val="16"/>
              </w:numPr>
              <w:spacing w:before="120" w:after="120" w:line="240" w:lineRule="auto"/>
              <w:rPr>
                <w:rFonts w:ascii="Arial" w:hAnsi="Arial" w:cs="Arial"/>
                <w:sz w:val="20"/>
                <w:szCs w:val="20"/>
              </w:rPr>
            </w:pPr>
            <w:r w:rsidRPr="007C7313">
              <w:rPr>
                <w:rFonts w:ascii="Arial" w:hAnsi="Arial" w:cs="Arial"/>
                <w:b/>
                <w:sz w:val="20"/>
                <w:szCs w:val="20"/>
              </w:rPr>
              <w:t>Prominutí daně z přidané hodnoty na bezúplatné dodání zboží či služeb základním složkám integrovaného záchranného systému, Armádě České republiky, poskytovatelům zdravotních služeb a zařízením sociálních služeb.</w:t>
            </w:r>
            <w:r w:rsidRPr="003B1F80">
              <w:rPr>
                <w:rFonts w:ascii="Arial" w:hAnsi="Arial" w:cs="Arial"/>
                <w:sz w:val="20"/>
                <w:szCs w:val="20"/>
              </w:rPr>
              <w:t xml:space="preserve"> Prominutí daně platí na období od 12. března 2020 po celou dobu trvání nouzového stavu.</w:t>
            </w:r>
          </w:p>
          <w:p w:rsidR="00692768" w:rsidRPr="00FC10BB" w:rsidRDefault="00692768" w:rsidP="00692768">
            <w:pPr>
              <w:pStyle w:val="Odstavecseseznamem"/>
              <w:numPr>
                <w:ilvl w:val="0"/>
                <w:numId w:val="18"/>
              </w:numPr>
              <w:spacing w:before="120" w:after="120" w:line="240" w:lineRule="auto"/>
              <w:rPr>
                <w:rFonts w:ascii="Arial" w:hAnsi="Arial" w:cs="Arial"/>
                <w:sz w:val="20"/>
                <w:szCs w:val="20"/>
              </w:rPr>
            </w:pPr>
            <w:r w:rsidRPr="007C7313">
              <w:rPr>
                <w:rFonts w:ascii="Arial" w:hAnsi="Arial" w:cs="Arial"/>
                <w:b/>
                <w:sz w:val="20"/>
                <w:szCs w:val="20"/>
              </w:rPr>
              <w:t xml:space="preserve">Plošné prominutí správního poplatku za potvrzení o bezdlužnosti nebo o stavu osobního daňového účtu vydané správním orgánem z rezortu financí </w:t>
            </w:r>
            <w:r w:rsidRPr="003B1F80">
              <w:rPr>
                <w:rFonts w:ascii="Arial" w:hAnsi="Arial" w:cs="Arial"/>
                <w:sz w:val="20"/>
                <w:szCs w:val="20"/>
              </w:rPr>
              <w:t>(tj. zejména orgány Finanční správy ČR a Celní správy ČR). Prominutí se vztahuje na potvrzení vydaná na základě žádostí, které budou podány do 31. července 2020</w:t>
            </w:r>
          </w:p>
        </w:tc>
        <w:tc>
          <w:tcPr>
            <w:tcW w:w="4536" w:type="dxa"/>
            <w:shd w:val="clear" w:color="auto" w:fill="auto"/>
          </w:tcPr>
          <w:p w:rsidR="00692768" w:rsidRPr="007C7313" w:rsidRDefault="006C0A05" w:rsidP="00692768">
            <w:pPr>
              <w:spacing w:before="120" w:after="120" w:line="240" w:lineRule="auto"/>
              <w:rPr>
                <w:rFonts w:ascii="Arial" w:hAnsi="Arial" w:cs="Arial"/>
                <w:sz w:val="20"/>
                <w:szCs w:val="20"/>
              </w:rPr>
            </w:pPr>
            <w:hyperlink r:id="rId10" w:history="1">
              <w:r w:rsidR="00692768" w:rsidRPr="003B1F80">
                <w:rPr>
                  <w:rStyle w:val="Hypertextovodkaz"/>
                  <w:rFonts w:ascii="Arial" w:hAnsi="Arial" w:cs="Arial"/>
                  <w:sz w:val="20"/>
                  <w:szCs w:val="20"/>
                </w:rPr>
                <w:t>https://www.mfcr.cz/cs/aktualne/tiskove-zprávy/2020/ulevy-v-danove-oblasti-se-rozsiri-37943</w:t>
              </w:r>
            </w:hyperlink>
          </w:p>
          <w:p w:rsidR="00692768" w:rsidRPr="00565B06" w:rsidRDefault="006C0A05" w:rsidP="00692768">
            <w:pPr>
              <w:spacing w:before="120" w:after="120" w:line="240" w:lineRule="auto"/>
              <w:rPr>
                <w:rFonts w:ascii="Arial" w:hAnsi="Arial" w:cs="Arial"/>
                <w:sz w:val="20"/>
                <w:szCs w:val="20"/>
              </w:rPr>
            </w:pPr>
            <w:hyperlink r:id="rId11" w:history="1">
              <w:r w:rsidR="00692768" w:rsidRPr="007C7313">
                <w:rPr>
                  <w:rStyle w:val="Hypertextovodkaz"/>
                  <w:rFonts w:ascii="Arial" w:hAnsi="Arial" w:cs="Arial"/>
                  <w:sz w:val="20"/>
                  <w:szCs w:val="20"/>
                </w:rPr>
                <w:t>https://www.mfcr.cz/cs/aktualne/tiskove-zprávy/2020/ulevy-v-danove-oblasti-se-rozsiri-37943</w:t>
              </w:r>
            </w:hyperlink>
          </w:p>
        </w:tc>
      </w:tr>
      <w:tr w:rsidR="00565B06" w:rsidRPr="00565B06" w:rsidTr="00CF249B">
        <w:trPr>
          <w:trHeight w:val="578"/>
        </w:trPr>
        <w:tc>
          <w:tcPr>
            <w:tcW w:w="1917" w:type="dxa"/>
            <w:shd w:val="clear" w:color="auto" w:fill="auto"/>
          </w:tcPr>
          <w:p w:rsidR="00D6044C" w:rsidRDefault="008F49C7" w:rsidP="007A4E5F">
            <w:pPr>
              <w:spacing w:before="120" w:after="120" w:line="240" w:lineRule="auto"/>
              <w:rPr>
                <w:rFonts w:ascii="Arial" w:hAnsi="Arial" w:cs="Arial"/>
                <w:b/>
                <w:sz w:val="20"/>
                <w:szCs w:val="20"/>
              </w:rPr>
            </w:pPr>
            <w:r w:rsidRPr="00565B06">
              <w:rPr>
                <w:rFonts w:ascii="Arial" w:hAnsi="Arial" w:cs="Arial"/>
                <w:b/>
                <w:sz w:val="20"/>
                <w:szCs w:val="20"/>
              </w:rPr>
              <w:t>Program Antivirus</w:t>
            </w:r>
          </w:p>
          <w:p w:rsidR="008F49C7" w:rsidRPr="00565B06" w:rsidRDefault="00D6044C" w:rsidP="007A4E5F">
            <w:pPr>
              <w:spacing w:before="120" w:after="120" w:line="240" w:lineRule="auto"/>
              <w:rPr>
                <w:rFonts w:ascii="Arial" w:hAnsi="Arial" w:cs="Arial"/>
                <w:b/>
                <w:sz w:val="20"/>
                <w:szCs w:val="20"/>
              </w:rPr>
            </w:pPr>
            <w:r>
              <w:rPr>
                <w:rFonts w:ascii="Arial" w:hAnsi="Arial" w:cs="Arial"/>
                <w:b/>
                <w:sz w:val="20"/>
                <w:szCs w:val="20"/>
              </w:rPr>
              <w:t>Náhrada mez</w:t>
            </w:r>
            <w:r w:rsidR="003422A2">
              <w:rPr>
                <w:rFonts w:ascii="Arial" w:hAnsi="Arial" w:cs="Arial"/>
                <w:b/>
                <w:sz w:val="20"/>
                <w:szCs w:val="20"/>
              </w:rPr>
              <w:t>d</w:t>
            </w:r>
            <w:r>
              <w:rPr>
                <w:rFonts w:ascii="Arial" w:hAnsi="Arial" w:cs="Arial"/>
                <w:b/>
                <w:sz w:val="20"/>
                <w:szCs w:val="20"/>
              </w:rPr>
              <w:t xml:space="preserve"> a platů</w:t>
            </w:r>
            <w:r w:rsidR="009A6D30" w:rsidRPr="00565B06">
              <w:rPr>
                <w:rFonts w:ascii="Arial" w:hAnsi="Arial" w:cs="Arial"/>
                <w:b/>
                <w:sz w:val="20"/>
                <w:szCs w:val="20"/>
              </w:rPr>
              <w:t xml:space="preserve"> </w:t>
            </w:r>
          </w:p>
        </w:tc>
        <w:tc>
          <w:tcPr>
            <w:tcW w:w="9560" w:type="dxa"/>
            <w:shd w:val="clear" w:color="auto" w:fill="auto"/>
          </w:tcPr>
          <w:p w:rsidR="00EF7E53" w:rsidRPr="004F262A" w:rsidRDefault="003422A2" w:rsidP="006D6C94">
            <w:pPr>
              <w:pStyle w:val="Odstavecseseznamem"/>
              <w:numPr>
                <w:ilvl w:val="0"/>
                <w:numId w:val="17"/>
              </w:numPr>
              <w:spacing w:before="120" w:after="120" w:line="240" w:lineRule="auto"/>
              <w:rPr>
                <w:rFonts w:ascii="Arial" w:hAnsi="Arial" w:cs="Arial"/>
                <w:sz w:val="20"/>
                <w:szCs w:val="20"/>
              </w:rPr>
            </w:pPr>
            <w:r>
              <w:rPr>
                <w:rFonts w:ascii="Arial" w:hAnsi="Arial" w:cs="Arial"/>
                <w:sz w:val="20"/>
                <w:szCs w:val="20"/>
              </w:rPr>
              <w:t xml:space="preserve">Vláda schválila prodloužení programu Antivirus do 31.5. 2020. </w:t>
            </w:r>
            <w:r w:rsidRPr="00076078">
              <w:rPr>
                <w:rFonts w:ascii="Arial" w:hAnsi="Arial" w:cs="Arial"/>
                <w:sz w:val="20"/>
                <w:szCs w:val="20"/>
              </w:rPr>
              <w:t>Zaměstnavatelé tak budou moci o refundaci náhrad mezd požádat i za měsíc květen.</w:t>
            </w:r>
            <w:r>
              <w:rPr>
                <w:rFonts w:ascii="Times New Roman" w:eastAsia="Times New Roman" w:hAnsi="Times New Roman" w:cs="Times New Roman"/>
                <w:sz w:val="24"/>
                <w:szCs w:val="24"/>
                <w:lang w:eastAsia="cs-CZ"/>
              </w:rPr>
              <w:t xml:space="preserve"> </w:t>
            </w:r>
            <w:r>
              <w:rPr>
                <w:rFonts w:ascii="Arial" w:hAnsi="Arial" w:cs="Arial"/>
                <w:sz w:val="20"/>
                <w:szCs w:val="20"/>
              </w:rPr>
              <w:t>S</w:t>
            </w:r>
            <w:r w:rsidR="00EF7E53" w:rsidRPr="004F262A">
              <w:rPr>
                <w:rFonts w:ascii="Arial" w:hAnsi="Arial" w:cs="Arial"/>
                <w:sz w:val="20"/>
                <w:szCs w:val="20"/>
              </w:rPr>
              <w:t xml:space="preserve">tát bude prostřednictvím Úřadu práce ČR kompenzovat firmám vyplacené prostředky pomocí </w:t>
            </w:r>
            <w:r w:rsidR="009B5493" w:rsidRPr="004F262A">
              <w:rPr>
                <w:rFonts w:ascii="Arial" w:hAnsi="Arial" w:cs="Arial"/>
                <w:sz w:val="20"/>
                <w:szCs w:val="20"/>
              </w:rPr>
              <w:t>následujících</w:t>
            </w:r>
            <w:r w:rsidR="00B95B3A" w:rsidRPr="004F262A">
              <w:rPr>
                <w:rFonts w:ascii="Arial" w:hAnsi="Arial" w:cs="Arial"/>
                <w:sz w:val="20"/>
                <w:szCs w:val="20"/>
              </w:rPr>
              <w:t xml:space="preserve"> </w:t>
            </w:r>
            <w:r w:rsidR="00EF7E53" w:rsidRPr="004F262A">
              <w:rPr>
                <w:rFonts w:ascii="Arial" w:hAnsi="Arial" w:cs="Arial"/>
                <w:sz w:val="20"/>
                <w:szCs w:val="20"/>
              </w:rPr>
              <w:t>režimů:</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2519"/>
              <w:gridCol w:w="1367"/>
              <w:gridCol w:w="959"/>
              <w:gridCol w:w="1111"/>
              <w:gridCol w:w="3225"/>
            </w:tblGrid>
            <w:tr w:rsidR="00B95B3A" w:rsidRPr="00062780" w:rsidTr="00E819AA">
              <w:trPr>
                <w:trHeight w:val="138"/>
                <w:jc w:val="center"/>
              </w:trPr>
              <w:tc>
                <w:tcPr>
                  <w:tcW w:w="5195" w:type="dxa"/>
                  <w:gridSpan w:val="4"/>
                  <w:shd w:val="clear" w:color="auto" w:fill="F4A3A6" w:themeFill="accent1" w:themeFillTint="66"/>
                  <w:vAlign w:val="center"/>
                </w:tcPr>
                <w:p w:rsidR="00B95B3A" w:rsidRPr="00062780" w:rsidRDefault="00B95B3A" w:rsidP="006C0A05">
                  <w:pPr>
                    <w:framePr w:hSpace="141" w:wrap="around" w:hAnchor="margin" w:x="-723" w:y="1842"/>
                    <w:spacing w:after="0" w:line="288" w:lineRule="auto"/>
                    <w:jc w:val="center"/>
                    <w:rPr>
                      <w:b/>
                      <w:szCs w:val="20"/>
                    </w:rPr>
                  </w:pPr>
                  <w:r w:rsidRPr="00062780">
                    <w:rPr>
                      <w:b/>
                      <w:szCs w:val="20"/>
                    </w:rPr>
                    <w:t>Důvod překážky v práci/ výše náhrady mzdy</w:t>
                  </w:r>
                </w:p>
              </w:tc>
              <w:tc>
                <w:tcPr>
                  <w:tcW w:w="4336" w:type="dxa"/>
                  <w:gridSpan w:val="2"/>
                  <w:shd w:val="clear" w:color="auto" w:fill="F4A3A6" w:themeFill="accent1" w:themeFillTint="66"/>
                  <w:vAlign w:val="center"/>
                </w:tcPr>
                <w:p w:rsidR="00B95B3A" w:rsidRPr="00062780" w:rsidRDefault="00B95B3A" w:rsidP="006C0A05">
                  <w:pPr>
                    <w:framePr w:hSpace="141" w:wrap="around" w:hAnchor="margin" w:x="-723" w:y="1842"/>
                    <w:spacing w:after="0" w:line="288" w:lineRule="auto"/>
                    <w:jc w:val="center"/>
                    <w:rPr>
                      <w:b/>
                      <w:szCs w:val="20"/>
                    </w:rPr>
                  </w:pPr>
                  <w:r w:rsidRPr="00062780">
                    <w:rPr>
                      <w:b/>
                      <w:szCs w:val="20"/>
                    </w:rPr>
                    <w:t>Příspěvek</w:t>
                  </w:r>
                  <w:r>
                    <w:rPr>
                      <w:b/>
                      <w:szCs w:val="20"/>
                    </w:rPr>
                    <w:t xml:space="preserve"> státu</w:t>
                  </w:r>
                </w:p>
              </w:tc>
            </w:tr>
            <w:tr w:rsidR="00B95B3A" w:rsidRPr="00062780" w:rsidTr="00E819AA">
              <w:trPr>
                <w:trHeight w:val="135"/>
                <w:jc w:val="center"/>
              </w:trPr>
              <w:tc>
                <w:tcPr>
                  <w:tcW w:w="2869" w:type="dxa"/>
                  <w:gridSpan w:val="2"/>
                  <w:shd w:val="clear" w:color="auto" w:fill="F4A3A6" w:themeFill="accent1" w:themeFillTint="66"/>
                  <w:vAlign w:val="center"/>
                </w:tcPr>
                <w:p w:rsidR="00B95B3A" w:rsidRPr="00062780" w:rsidRDefault="00B95B3A" w:rsidP="006C0A05">
                  <w:pPr>
                    <w:framePr w:hSpace="141" w:wrap="around" w:hAnchor="margin" w:x="-723" w:y="1842"/>
                    <w:spacing w:after="0" w:line="288" w:lineRule="auto"/>
                    <w:jc w:val="center"/>
                    <w:rPr>
                      <w:sz w:val="18"/>
                      <w:szCs w:val="20"/>
                    </w:rPr>
                  </w:pPr>
                  <w:r w:rsidRPr="00062780">
                    <w:rPr>
                      <w:sz w:val="18"/>
                      <w:szCs w:val="20"/>
                    </w:rPr>
                    <w:t>Popis situace</w:t>
                  </w:r>
                </w:p>
              </w:tc>
              <w:tc>
                <w:tcPr>
                  <w:tcW w:w="1367" w:type="dxa"/>
                  <w:shd w:val="clear" w:color="auto" w:fill="F4A3A6" w:themeFill="accent1" w:themeFillTint="66"/>
                  <w:vAlign w:val="center"/>
                </w:tcPr>
                <w:p w:rsidR="00B95B3A" w:rsidRPr="00062780" w:rsidRDefault="00B95B3A" w:rsidP="006C0A05">
                  <w:pPr>
                    <w:framePr w:hSpace="141" w:wrap="around" w:hAnchor="margin" w:x="-723" w:y="1842"/>
                    <w:spacing w:after="0" w:line="288" w:lineRule="auto"/>
                    <w:jc w:val="center"/>
                    <w:rPr>
                      <w:sz w:val="18"/>
                      <w:szCs w:val="20"/>
                    </w:rPr>
                  </w:pPr>
                  <w:r w:rsidRPr="00062780">
                    <w:rPr>
                      <w:sz w:val="18"/>
                      <w:szCs w:val="20"/>
                    </w:rPr>
                    <w:t>§ ZP</w:t>
                  </w:r>
                </w:p>
              </w:tc>
              <w:tc>
                <w:tcPr>
                  <w:tcW w:w="959" w:type="dxa"/>
                  <w:shd w:val="clear" w:color="auto" w:fill="F4A3A6" w:themeFill="accent1" w:themeFillTint="66"/>
                  <w:vAlign w:val="center"/>
                </w:tcPr>
                <w:p w:rsidR="00B95B3A" w:rsidRPr="00062780" w:rsidRDefault="00B95B3A" w:rsidP="006C0A05">
                  <w:pPr>
                    <w:framePr w:hSpace="141" w:wrap="around" w:hAnchor="margin" w:x="-723" w:y="1842"/>
                    <w:spacing w:after="0" w:line="288" w:lineRule="auto"/>
                    <w:jc w:val="center"/>
                    <w:rPr>
                      <w:sz w:val="18"/>
                      <w:szCs w:val="20"/>
                    </w:rPr>
                  </w:pPr>
                  <w:r w:rsidRPr="00062780">
                    <w:rPr>
                      <w:sz w:val="18"/>
                      <w:szCs w:val="20"/>
                    </w:rPr>
                    <w:t>Výše NMZ</w:t>
                  </w:r>
                </w:p>
              </w:tc>
              <w:tc>
                <w:tcPr>
                  <w:tcW w:w="1111" w:type="dxa"/>
                  <w:shd w:val="clear" w:color="auto" w:fill="F4A3A6" w:themeFill="accent1" w:themeFillTint="66"/>
                  <w:vAlign w:val="center"/>
                </w:tcPr>
                <w:p w:rsidR="00B95B3A" w:rsidRPr="0090438D" w:rsidRDefault="00B95B3A" w:rsidP="006C0A05">
                  <w:pPr>
                    <w:framePr w:hSpace="141" w:wrap="around" w:hAnchor="margin" w:x="-723" w:y="1842"/>
                    <w:spacing w:after="0" w:line="288" w:lineRule="auto"/>
                    <w:jc w:val="center"/>
                    <w:rPr>
                      <w:b/>
                      <w:sz w:val="18"/>
                      <w:szCs w:val="20"/>
                    </w:rPr>
                  </w:pPr>
                  <w:r w:rsidRPr="0090438D">
                    <w:rPr>
                      <w:b/>
                      <w:sz w:val="18"/>
                      <w:szCs w:val="20"/>
                    </w:rPr>
                    <w:t>Výše příspěvku od státu měsíčně</w:t>
                  </w:r>
                </w:p>
              </w:tc>
              <w:tc>
                <w:tcPr>
                  <w:tcW w:w="3225" w:type="dxa"/>
                  <w:shd w:val="clear" w:color="auto" w:fill="F4A3A6" w:themeFill="accent1" w:themeFillTint="66"/>
                  <w:vAlign w:val="center"/>
                </w:tcPr>
                <w:p w:rsidR="00B95B3A" w:rsidRPr="00062780" w:rsidRDefault="00B95B3A" w:rsidP="006C0A05">
                  <w:pPr>
                    <w:framePr w:hSpace="141" w:wrap="around" w:hAnchor="margin" w:x="-723" w:y="1842"/>
                    <w:spacing w:after="0" w:line="288" w:lineRule="auto"/>
                    <w:jc w:val="center"/>
                    <w:rPr>
                      <w:sz w:val="18"/>
                      <w:szCs w:val="20"/>
                    </w:rPr>
                  </w:pPr>
                  <w:r w:rsidRPr="00062780">
                    <w:rPr>
                      <w:sz w:val="18"/>
                      <w:szCs w:val="20"/>
                    </w:rPr>
                    <w:t>Prokázání/ poznámka</w:t>
                  </w:r>
                </w:p>
              </w:tc>
            </w:tr>
            <w:tr w:rsidR="00B95B3A" w:rsidRPr="00062780" w:rsidTr="00E819AA">
              <w:trPr>
                <w:trHeight w:val="247"/>
                <w:jc w:val="center"/>
              </w:trPr>
              <w:tc>
                <w:tcPr>
                  <w:tcW w:w="350" w:type="dxa"/>
                  <w:shd w:val="clear" w:color="auto" w:fill="F4A3A6" w:themeFill="accent1" w:themeFillTint="66"/>
                  <w:vAlign w:val="center"/>
                </w:tcPr>
                <w:p w:rsidR="00B95B3A" w:rsidRPr="00062780" w:rsidRDefault="00B95B3A" w:rsidP="006C0A05">
                  <w:pPr>
                    <w:framePr w:hSpace="141" w:wrap="around" w:hAnchor="margin" w:x="-723" w:y="1842"/>
                    <w:spacing w:after="0" w:line="288" w:lineRule="auto"/>
                    <w:rPr>
                      <w:b/>
                      <w:szCs w:val="20"/>
                    </w:rPr>
                  </w:pPr>
                  <w:r w:rsidRPr="00062780">
                    <w:rPr>
                      <w:b/>
                      <w:szCs w:val="20"/>
                    </w:rPr>
                    <w:t>A</w:t>
                  </w:r>
                </w:p>
              </w:tc>
              <w:tc>
                <w:tcPr>
                  <w:tcW w:w="2519" w:type="dxa"/>
                  <w:vAlign w:val="center"/>
                </w:tcPr>
                <w:p w:rsidR="00B95B3A" w:rsidRPr="00062780" w:rsidRDefault="00B95B3A" w:rsidP="006C0A05">
                  <w:pPr>
                    <w:framePr w:hSpace="141" w:wrap="around" w:hAnchor="margin" w:x="-723" w:y="1842"/>
                    <w:spacing w:after="0" w:line="240" w:lineRule="auto"/>
                    <w:jc w:val="both"/>
                    <w:rPr>
                      <w:sz w:val="18"/>
                    </w:rPr>
                  </w:pPr>
                  <w:r w:rsidRPr="00062780">
                    <w:rPr>
                      <w:sz w:val="18"/>
                    </w:rPr>
                    <w:t xml:space="preserve">Překážky v práci spočívající v karanténě zaměstnanců nebo uzavření či omezení provozu v důsledku krizových usnesení vlády ČR a mimořádných opatření orgánů ochrany veřejného zdraví  </w:t>
                  </w:r>
                </w:p>
              </w:tc>
              <w:tc>
                <w:tcPr>
                  <w:tcW w:w="1367" w:type="dxa"/>
                  <w:vAlign w:val="center"/>
                </w:tcPr>
                <w:p w:rsidR="00B95B3A" w:rsidRPr="00062780" w:rsidRDefault="00B95B3A" w:rsidP="006C0A05">
                  <w:pPr>
                    <w:framePr w:hSpace="141" w:wrap="around" w:hAnchor="margin" w:x="-723" w:y="1842"/>
                    <w:spacing w:after="0" w:line="240" w:lineRule="auto"/>
                    <w:jc w:val="both"/>
                    <w:rPr>
                      <w:sz w:val="18"/>
                    </w:rPr>
                  </w:pPr>
                  <w:r w:rsidRPr="00062780">
                    <w:rPr>
                      <w:sz w:val="18"/>
                    </w:rPr>
                    <w:t xml:space="preserve">§192 a 208 ZP </w:t>
                  </w:r>
                </w:p>
                <w:p w:rsidR="00B95B3A" w:rsidRPr="00062780" w:rsidRDefault="00B95B3A" w:rsidP="006C0A05">
                  <w:pPr>
                    <w:framePr w:hSpace="141" w:wrap="around" w:hAnchor="margin" w:x="-723" w:y="1842"/>
                    <w:spacing w:after="0" w:line="240" w:lineRule="auto"/>
                    <w:jc w:val="both"/>
                    <w:rPr>
                      <w:sz w:val="18"/>
                    </w:rPr>
                  </w:pPr>
                </w:p>
                <w:p w:rsidR="00B95B3A" w:rsidRPr="00062780" w:rsidRDefault="00B95B3A" w:rsidP="006C0A05">
                  <w:pPr>
                    <w:framePr w:hSpace="141" w:wrap="around" w:hAnchor="margin" w:x="-723" w:y="1842"/>
                    <w:spacing w:after="0" w:line="240" w:lineRule="auto"/>
                    <w:jc w:val="both"/>
                    <w:rPr>
                      <w:sz w:val="18"/>
                    </w:rPr>
                  </w:pPr>
                  <w:r w:rsidRPr="00062780">
                    <w:rPr>
                      <w:sz w:val="18"/>
                    </w:rPr>
                    <w:t>překážky v práci</w:t>
                  </w:r>
                </w:p>
              </w:tc>
              <w:tc>
                <w:tcPr>
                  <w:tcW w:w="959" w:type="dxa"/>
                  <w:vAlign w:val="center"/>
                </w:tcPr>
                <w:p w:rsidR="00B95B3A" w:rsidRPr="00062780" w:rsidRDefault="00B95B3A" w:rsidP="006C0A05">
                  <w:pPr>
                    <w:framePr w:hSpace="141" w:wrap="around" w:hAnchor="margin" w:x="-723" w:y="1842"/>
                    <w:spacing w:after="0" w:line="240" w:lineRule="auto"/>
                    <w:jc w:val="both"/>
                    <w:rPr>
                      <w:sz w:val="18"/>
                    </w:rPr>
                  </w:pPr>
                  <w:r w:rsidRPr="00062780">
                    <w:rPr>
                      <w:sz w:val="18"/>
                    </w:rPr>
                    <w:t>60 % PVZ</w:t>
                  </w:r>
                </w:p>
                <w:p w:rsidR="00B95B3A" w:rsidRPr="00062780" w:rsidRDefault="00B95B3A" w:rsidP="006C0A05">
                  <w:pPr>
                    <w:framePr w:hSpace="141" w:wrap="around" w:hAnchor="margin" w:x="-723" w:y="1842"/>
                    <w:spacing w:after="0" w:line="240" w:lineRule="auto"/>
                    <w:jc w:val="both"/>
                    <w:rPr>
                      <w:sz w:val="18"/>
                    </w:rPr>
                  </w:pPr>
                  <w:r w:rsidRPr="00062780">
                    <w:rPr>
                      <w:sz w:val="18"/>
                    </w:rPr>
                    <w:t>karanténa</w:t>
                  </w:r>
                </w:p>
                <w:p w:rsidR="00B95B3A" w:rsidRPr="00062780" w:rsidRDefault="00B95B3A" w:rsidP="006C0A05">
                  <w:pPr>
                    <w:framePr w:hSpace="141" w:wrap="around" w:hAnchor="margin" w:x="-723" w:y="1842"/>
                    <w:spacing w:after="0" w:line="240" w:lineRule="auto"/>
                    <w:jc w:val="both"/>
                    <w:rPr>
                      <w:sz w:val="18"/>
                    </w:rPr>
                  </w:pPr>
                </w:p>
                <w:p w:rsidR="00B95B3A" w:rsidRPr="00062780" w:rsidRDefault="00B95B3A" w:rsidP="006C0A05">
                  <w:pPr>
                    <w:framePr w:hSpace="141" w:wrap="around" w:hAnchor="margin" w:x="-723" w:y="1842"/>
                    <w:spacing w:after="0" w:line="240" w:lineRule="auto"/>
                    <w:jc w:val="both"/>
                    <w:rPr>
                      <w:sz w:val="18"/>
                    </w:rPr>
                  </w:pPr>
                  <w:r w:rsidRPr="00062780">
                    <w:rPr>
                      <w:sz w:val="18"/>
                    </w:rPr>
                    <w:t>100 % PVZ</w:t>
                  </w:r>
                </w:p>
                <w:p w:rsidR="00B95B3A" w:rsidRPr="00062780" w:rsidRDefault="00B95B3A" w:rsidP="006C0A05">
                  <w:pPr>
                    <w:framePr w:hSpace="141" w:wrap="around" w:hAnchor="margin" w:x="-723" w:y="1842"/>
                    <w:spacing w:after="0" w:line="240" w:lineRule="auto"/>
                    <w:jc w:val="both"/>
                    <w:rPr>
                      <w:sz w:val="18"/>
                    </w:rPr>
                  </w:pPr>
                  <w:r w:rsidRPr="00062780">
                    <w:rPr>
                      <w:sz w:val="18"/>
                    </w:rPr>
                    <w:t>uzavření provozu</w:t>
                  </w:r>
                </w:p>
              </w:tc>
              <w:tc>
                <w:tcPr>
                  <w:tcW w:w="1111" w:type="dxa"/>
                  <w:vAlign w:val="center"/>
                </w:tcPr>
                <w:p w:rsidR="00B95B3A" w:rsidRPr="00062780" w:rsidRDefault="00B95B3A" w:rsidP="006C0A05">
                  <w:pPr>
                    <w:framePr w:hSpace="141" w:wrap="around" w:hAnchor="margin" w:x="-723" w:y="1842"/>
                    <w:spacing w:after="0" w:line="240" w:lineRule="auto"/>
                    <w:jc w:val="both"/>
                    <w:rPr>
                      <w:sz w:val="18"/>
                    </w:rPr>
                  </w:pPr>
                  <w:r w:rsidRPr="00062780">
                    <w:rPr>
                      <w:sz w:val="18"/>
                    </w:rPr>
                    <w:t>80% NMZ a odvodů</w:t>
                  </w:r>
                </w:p>
                <w:p w:rsidR="00B95B3A" w:rsidRPr="00062780" w:rsidRDefault="00B95B3A" w:rsidP="006C0A05">
                  <w:pPr>
                    <w:framePr w:hSpace="141" w:wrap="around" w:hAnchor="margin" w:x="-723" w:y="1842"/>
                    <w:spacing w:after="0" w:line="240" w:lineRule="auto"/>
                    <w:jc w:val="both"/>
                    <w:rPr>
                      <w:sz w:val="18"/>
                    </w:rPr>
                  </w:pPr>
                </w:p>
                <w:p w:rsidR="00B95B3A" w:rsidRPr="00062780" w:rsidRDefault="00B95B3A" w:rsidP="006C0A05">
                  <w:pPr>
                    <w:framePr w:hSpace="141" w:wrap="around" w:hAnchor="margin" w:x="-723" w:y="1842"/>
                    <w:spacing w:after="0" w:line="240" w:lineRule="auto"/>
                    <w:jc w:val="both"/>
                    <w:rPr>
                      <w:sz w:val="18"/>
                    </w:rPr>
                  </w:pPr>
                  <w:r w:rsidRPr="00062780">
                    <w:rPr>
                      <w:sz w:val="18"/>
                    </w:rPr>
                    <w:t>max. 39 000 Kč</w:t>
                  </w:r>
                </w:p>
                <w:p w:rsidR="00B95B3A" w:rsidRPr="00062780" w:rsidRDefault="00B95B3A" w:rsidP="006C0A05">
                  <w:pPr>
                    <w:framePr w:hSpace="141" w:wrap="around" w:hAnchor="margin" w:x="-723" w:y="1842"/>
                    <w:spacing w:after="0" w:line="240" w:lineRule="auto"/>
                    <w:jc w:val="both"/>
                    <w:rPr>
                      <w:sz w:val="18"/>
                    </w:rPr>
                  </w:pPr>
                </w:p>
              </w:tc>
              <w:tc>
                <w:tcPr>
                  <w:tcW w:w="3225" w:type="dxa"/>
                  <w:vAlign w:val="center"/>
                </w:tcPr>
                <w:p w:rsidR="00B95B3A" w:rsidRPr="00062780" w:rsidRDefault="00B95B3A" w:rsidP="006C0A05">
                  <w:pPr>
                    <w:framePr w:hSpace="141" w:wrap="around" w:hAnchor="margin" w:x="-723" w:y="1842"/>
                    <w:spacing w:after="0" w:line="240" w:lineRule="auto"/>
                    <w:jc w:val="both"/>
                    <w:rPr>
                      <w:sz w:val="18"/>
                    </w:rPr>
                  </w:pPr>
                  <w:r w:rsidRPr="00062780">
                    <w:rPr>
                      <w:sz w:val="18"/>
                    </w:rPr>
                    <w:t>Rozhodnutí orgánu ochrany veřejného zdraví o nařízení karantény zaměstnanci.</w:t>
                  </w:r>
                </w:p>
                <w:p w:rsidR="00B95B3A" w:rsidRPr="00062780" w:rsidRDefault="00B95B3A" w:rsidP="006C0A05">
                  <w:pPr>
                    <w:framePr w:hSpace="141" w:wrap="around" w:hAnchor="margin" w:x="-723" w:y="1842"/>
                    <w:spacing w:after="0" w:line="240" w:lineRule="auto"/>
                    <w:jc w:val="both"/>
                    <w:rPr>
                      <w:sz w:val="18"/>
                      <w:highlight w:val="yellow"/>
                    </w:rPr>
                  </w:pPr>
                </w:p>
                <w:p w:rsidR="00B95B3A" w:rsidRPr="00062780" w:rsidRDefault="00B95B3A" w:rsidP="006C0A05">
                  <w:pPr>
                    <w:framePr w:hSpace="141" w:wrap="around" w:hAnchor="margin" w:x="-723" w:y="1842"/>
                    <w:spacing w:after="0" w:line="240" w:lineRule="auto"/>
                    <w:jc w:val="both"/>
                    <w:rPr>
                      <w:sz w:val="18"/>
                    </w:rPr>
                  </w:pPr>
                  <w:r w:rsidRPr="00062780">
                    <w:rPr>
                      <w:sz w:val="18"/>
                    </w:rPr>
                    <w:t>Doklady prokazující faktické omezení nebo uzavření provozu v důsledku krizových usnesení vlády ČR a mimořádných opatření orgánů ochrany veřejného zdraví. Příspěvek bude poskytován výhradně za dobu platnosti mimořádných opatření uzavírajících vybrané provozovny zaměstnavatele.</w:t>
                  </w:r>
                </w:p>
              </w:tc>
            </w:tr>
            <w:tr w:rsidR="00B95B3A" w:rsidRPr="00062780" w:rsidTr="00E819AA">
              <w:trPr>
                <w:trHeight w:val="247"/>
                <w:jc w:val="center"/>
              </w:trPr>
              <w:tc>
                <w:tcPr>
                  <w:tcW w:w="350" w:type="dxa"/>
                  <w:shd w:val="clear" w:color="auto" w:fill="F4A3A6" w:themeFill="accent1" w:themeFillTint="66"/>
                  <w:vAlign w:val="center"/>
                </w:tcPr>
                <w:p w:rsidR="00B95B3A" w:rsidRPr="00062780" w:rsidRDefault="00B95B3A" w:rsidP="006C0A05">
                  <w:pPr>
                    <w:framePr w:hSpace="141" w:wrap="around" w:hAnchor="margin" w:x="-723" w:y="1842"/>
                    <w:spacing w:after="0" w:line="288" w:lineRule="auto"/>
                    <w:rPr>
                      <w:b/>
                      <w:szCs w:val="20"/>
                    </w:rPr>
                  </w:pPr>
                  <w:r w:rsidRPr="00062780">
                    <w:rPr>
                      <w:b/>
                      <w:szCs w:val="20"/>
                    </w:rPr>
                    <w:t>B</w:t>
                  </w:r>
                </w:p>
              </w:tc>
              <w:tc>
                <w:tcPr>
                  <w:tcW w:w="2519" w:type="dxa"/>
                  <w:vAlign w:val="center"/>
                </w:tcPr>
                <w:p w:rsidR="00B95B3A" w:rsidRPr="00062780" w:rsidRDefault="00B95B3A" w:rsidP="006C0A05">
                  <w:pPr>
                    <w:framePr w:hSpace="141" w:wrap="around" w:hAnchor="margin" w:x="-723" w:y="1842"/>
                    <w:spacing w:after="0" w:line="240" w:lineRule="auto"/>
                    <w:jc w:val="both"/>
                    <w:rPr>
                      <w:sz w:val="18"/>
                    </w:rPr>
                  </w:pPr>
                  <w:r w:rsidRPr="00062780">
                    <w:rPr>
                      <w:sz w:val="18"/>
                    </w:rPr>
                    <w:t>Překážky v práci na straně zaměstnavatele, u nichž se presumuje příčinná souvislost s nákazou COVID</w:t>
                  </w:r>
                  <w:r w:rsidR="00597AF8">
                    <w:rPr>
                      <w:sz w:val="18"/>
                    </w:rPr>
                    <w:t xml:space="preserve"> </w:t>
                  </w:r>
                  <w:r w:rsidRPr="00062780">
                    <w:rPr>
                      <w:sz w:val="18"/>
                    </w:rPr>
                    <w:t>19. Zejména vzniklé, v důsledku překážek v práci na straně zaměstnanců u jejich významné části, výpadku vstupů produkce nebo omezení odbytu zaměstnavatele.</w:t>
                  </w:r>
                </w:p>
              </w:tc>
              <w:tc>
                <w:tcPr>
                  <w:tcW w:w="1367" w:type="dxa"/>
                  <w:vAlign w:val="center"/>
                </w:tcPr>
                <w:p w:rsidR="00B95B3A" w:rsidRPr="00062780" w:rsidRDefault="00B95B3A" w:rsidP="006C0A05">
                  <w:pPr>
                    <w:framePr w:hSpace="141" w:wrap="around" w:hAnchor="margin" w:x="-723" w:y="1842"/>
                    <w:spacing w:after="0" w:line="240" w:lineRule="auto"/>
                    <w:jc w:val="both"/>
                    <w:rPr>
                      <w:sz w:val="18"/>
                    </w:rPr>
                  </w:pPr>
                  <w:r w:rsidRPr="00062780">
                    <w:rPr>
                      <w:sz w:val="18"/>
                    </w:rPr>
                    <w:t xml:space="preserve">§ 207, 208 a 209 ZP </w:t>
                  </w:r>
                </w:p>
                <w:p w:rsidR="00B95B3A" w:rsidRPr="00062780" w:rsidRDefault="00B95B3A" w:rsidP="006C0A05">
                  <w:pPr>
                    <w:framePr w:hSpace="141" w:wrap="around" w:hAnchor="margin" w:x="-723" w:y="1842"/>
                    <w:spacing w:after="0" w:line="240" w:lineRule="auto"/>
                    <w:jc w:val="both"/>
                    <w:rPr>
                      <w:sz w:val="18"/>
                    </w:rPr>
                  </w:pPr>
                </w:p>
                <w:p w:rsidR="00B95B3A" w:rsidRPr="00062780" w:rsidRDefault="00B95B3A" w:rsidP="006C0A05">
                  <w:pPr>
                    <w:framePr w:hSpace="141" w:wrap="around" w:hAnchor="margin" w:x="-723" w:y="1842"/>
                    <w:spacing w:after="0" w:line="240" w:lineRule="auto"/>
                    <w:jc w:val="both"/>
                    <w:rPr>
                      <w:sz w:val="18"/>
                    </w:rPr>
                  </w:pPr>
                  <w:r w:rsidRPr="00062780">
                    <w:rPr>
                      <w:sz w:val="18"/>
                    </w:rPr>
                    <w:t>překážky v práci na straně zaměstnavatele</w:t>
                  </w:r>
                </w:p>
              </w:tc>
              <w:tc>
                <w:tcPr>
                  <w:tcW w:w="959" w:type="dxa"/>
                  <w:vAlign w:val="center"/>
                </w:tcPr>
                <w:p w:rsidR="00B95B3A" w:rsidRPr="00062780" w:rsidRDefault="00B95B3A" w:rsidP="006C0A05">
                  <w:pPr>
                    <w:framePr w:hSpace="141" w:wrap="around" w:hAnchor="margin" w:x="-723" w:y="1842"/>
                    <w:spacing w:after="0" w:line="240" w:lineRule="auto"/>
                    <w:jc w:val="both"/>
                    <w:rPr>
                      <w:sz w:val="18"/>
                    </w:rPr>
                  </w:pPr>
                  <w:r w:rsidRPr="00062780">
                    <w:rPr>
                      <w:sz w:val="18"/>
                    </w:rPr>
                    <w:t>60 - 100 % PVZ</w:t>
                  </w:r>
                </w:p>
                <w:p w:rsidR="00B95B3A" w:rsidRPr="00062780" w:rsidRDefault="00B95B3A" w:rsidP="006C0A05">
                  <w:pPr>
                    <w:framePr w:hSpace="141" w:wrap="around" w:hAnchor="margin" w:x="-723" w:y="1842"/>
                    <w:spacing w:after="0" w:line="240" w:lineRule="auto"/>
                    <w:jc w:val="both"/>
                    <w:rPr>
                      <w:sz w:val="18"/>
                    </w:rPr>
                  </w:pPr>
                  <w:r w:rsidRPr="00062780">
                    <w:rPr>
                      <w:sz w:val="18"/>
                    </w:rPr>
                    <w:t>dle překážky</w:t>
                  </w:r>
                </w:p>
              </w:tc>
              <w:tc>
                <w:tcPr>
                  <w:tcW w:w="1111" w:type="dxa"/>
                  <w:vAlign w:val="center"/>
                </w:tcPr>
                <w:p w:rsidR="00B95B3A" w:rsidRPr="00062780" w:rsidRDefault="00B95B3A" w:rsidP="006C0A05">
                  <w:pPr>
                    <w:framePr w:hSpace="141" w:wrap="around" w:hAnchor="margin" w:x="-723" w:y="1842"/>
                    <w:spacing w:after="0" w:line="240" w:lineRule="auto"/>
                    <w:jc w:val="both"/>
                    <w:rPr>
                      <w:sz w:val="18"/>
                    </w:rPr>
                  </w:pPr>
                  <w:r w:rsidRPr="00062780">
                    <w:rPr>
                      <w:sz w:val="18"/>
                    </w:rPr>
                    <w:t>60 % NMZ  a odvodů</w:t>
                  </w:r>
                </w:p>
                <w:p w:rsidR="00B95B3A" w:rsidRPr="00062780" w:rsidRDefault="00B95B3A" w:rsidP="006C0A05">
                  <w:pPr>
                    <w:framePr w:hSpace="141" w:wrap="around" w:hAnchor="margin" w:x="-723" w:y="1842"/>
                    <w:spacing w:after="0" w:line="240" w:lineRule="auto"/>
                    <w:jc w:val="both"/>
                    <w:rPr>
                      <w:sz w:val="18"/>
                    </w:rPr>
                  </w:pPr>
                </w:p>
                <w:p w:rsidR="00B95B3A" w:rsidRPr="00062780" w:rsidRDefault="00B95B3A" w:rsidP="006C0A05">
                  <w:pPr>
                    <w:framePr w:hSpace="141" w:wrap="around" w:hAnchor="margin" w:x="-723" w:y="1842"/>
                    <w:spacing w:after="0" w:line="240" w:lineRule="auto"/>
                    <w:jc w:val="both"/>
                    <w:rPr>
                      <w:sz w:val="18"/>
                    </w:rPr>
                  </w:pPr>
                  <w:r w:rsidRPr="00062780">
                    <w:rPr>
                      <w:sz w:val="18"/>
                    </w:rPr>
                    <w:t>max. 29 000 Kč</w:t>
                  </w:r>
                </w:p>
                <w:p w:rsidR="00B95B3A" w:rsidRPr="00062780" w:rsidRDefault="00B95B3A" w:rsidP="006C0A05">
                  <w:pPr>
                    <w:framePr w:hSpace="141" w:wrap="around" w:hAnchor="margin" w:x="-723" w:y="1842"/>
                    <w:spacing w:after="0" w:line="240" w:lineRule="auto"/>
                    <w:jc w:val="both"/>
                    <w:rPr>
                      <w:sz w:val="18"/>
                    </w:rPr>
                  </w:pPr>
                </w:p>
                <w:p w:rsidR="00B95B3A" w:rsidRPr="00062780" w:rsidRDefault="00B95B3A" w:rsidP="006C0A05">
                  <w:pPr>
                    <w:framePr w:hSpace="141" w:wrap="around" w:hAnchor="margin" w:x="-723" w:y="1842"/>
                    <w:spacing w:after="0" w:line="240" w:lineRule="auto"/>
                    <w:jc w:val="both"/>
                    <w:rPr>
                      <w:sz w:val="18"/>
                    </w:rPr>
                  </w:pPr>
                </w:p>
              </w:tc>
              <w:tc>
                <w:tcPr>
                  <w:tcW w:w="3225" w:type="dxa"/>
                  <w:vAlign w:val="center"/>
                </w:tcPr>
                <w:p w:rsidR="00B95B3A" w:rsidRPr="00062780" w:rsidRDefault="00B95B3A" w:rsidP="006C0A05">
                  <w:pPr>
                    <w:framePr w:hSpace="141" w:wrap="around" w:hAnchor="margin" w:x="-723" w:y="1842"/>
                    <w:spacing w:after="0" w:line="240" w:lineRule="auto"/>
                    <w:jc w:val="both"/>
                    <w:rPr>
                      <w:sz w:val="18"/>
                    </w:rPr>
                  </w:pPr>
                  <w:r w:rsidRPr="00062780">
                    <w:rPr>
                      <w:sz w:val="18"/>
                    </w:rPr>
                    <w:t>Doklady prokazující vyplacení náhrady mzdy, včetně provedení zákonných odvodů</w:t>
                  </w:r>
                  <w:r>
                    <w:rPr>
                      <w:sz w:val="18"/>
                    </w:rPr>
                    <w:t xml:space="preserve"> (v rámci následné kontroly</w:t>
                  </w:r>
                  <w:r w:rsidRPr="00062780">
                    <w:rPr>
                      <w:sz w:val="18"/>
                    </w:rPr>
                    <w:t xml:space="preserve">). </w:t>
                  </w:r>
                </w:p>
              </w:tc>
            </w:tr>
          </w:tbl>
          <w:p w:rsidR="00B95B3A" w:rsidRDefault="00B95B3A" w:rsidP="007A4E5F">
            <w:pPr>
              <w:spacing w:after="0" w:line="288" w:lineRule="auto"/>
              <w:rPr>
                <w:i/>
                <w:sz w:val="16"/>
                <w:szCs w:val="20"/>
              </w:rPr>
            </w:pPr>
            <w:r w:rsidRPr="00D34622">
              <w:rPr>
                <w:i/>
                <w:sz w:val="16"/>
                <w:szCs w:val="20"/>
              </w:rPr>
              <w:lastRenderedPageBreak/>
              <w:t>NMZ</w:t>
            </w:r>
            <w:r>
              <w:rPr>
                <w:i/>
                <w:sz w:val="16"/>
                <w:szCs w:val="20"/>
              </w:rPr>
              <w:t xml:space="preserve"> = náhrady mzdy</w:t>
            </w:r>
          </w:p>
          <w:p w:rsidR="00B95B3A" w:rsidRDefault="00B95B3A" w:rsidP="007A4E5F">
            <w:pPr>
              <w:spacing w:after="0" w:line="288" w:lineRule="auto"/>
              <w:rPr>
                <w:i/>
                <w:sz w:val="16"/>
                <w:szCs w:val="20"/>
              </w:rPr>
            </w:pPr>
            <w:r w:rsidRPr="00D34622">
              <w:rPr>
                <w:i/>
                <w:sz w:val="16"/>
                <w:szCs w:val="20"/>
              </w:rPr>
              <w:t>PVZ</w:t>
            </w:r>
            <w:r>
              <w:rPr>
                <w:i/>
                <w:sz w:val="16"/>
                <w:szCs w:val="20"/>
              </w:rPr>
              <w:t xml:space="preserve"> = průměrný výdělek zaměstnance</w:t>
            </w:r>
          </w:p>
          <w:p w:rsidR="00E85586" w:rsidRPr="003963CE" w:rsidRDefault="00E73764" w:rsidP="007A4E5F">
            <w:pPr>
              <w:spacing w:after="0" w:line="288" w:lineRule="auto"/>
              <w:rPr>
                <w:sz w:val="16"/>
                <w:szCs w:val="20"/>
              </w:rPr>
            </w:pPr>
            <w:r>
              <w:rPr>
                <w:i/>
                <w:sz w:val="16"/>
                <w:szCs w:val="20"/>
              </w:rPr>
              <w:t>ZP=zákoník práce</w:t>
            </w:r>
          </w:p>
          <w:p w:rsidR="00E85586" w:rsidRDefault="00E85586" w:rsidP="000D44AF">
            <w:pPr>
              <w:spacing w:after="0" w:line="288" w:lineRule="auto"/>
              <w:rPr>
                <w:rFonts w:ascii="Arial" w:hAnsi="Arial" w:cs="Arial"/>
                <w:sz w:val="20"/>
                <w:szCs w:val="20"/>
              </w:rPr>
            </w:pPr>
            <w:r>
              <w:rPr>
                <w:rFonts w:ascii="Arial" w:hAnsi="Arial" w:cs="Arial"/>
                <w:sz w:val="20"/>
                <w:szCs w:val="20"/>
              </w:rPr>
              <w:t xml:space="preserve">Zaměstnavatel bude žádat o refundaci vyplacených NMZ po skončení vykazovaného období. </w:t>
            </w:r>
          </w:p>
          <w:p w:rsidR="00E85586" w:rsidRDefault="00E85586" w:rsidP="00E85586">
            <w:pPr>
              <w:spacing w:before="120" w:after="120" w:line="240" w:lineRule="auto"/>
              <w:rPr>
                <w:rFonts w:ascii="Arial" w:hAnsi="Arial" w:cs="Arial"/>
                <w:sz w:val="20"/>
                <w:szCs w:val="20"/>
              </w:rPr>
            </w:pPr>
            <w:r>
              <w:rPr>
                <w:rFonts w:ascii="Arial" w:hAnsi="Arial" w:cs="Arial"/>
                <w:sz w:val="20"/>
                <w:szCs w:val="20"/>
              </w:rPr>
              <w:t>Podmínky pro nárok na kompenzaci:</w:t>
            </w:r>
          </w:p>
          <w:p w:rsidR="00E85586" w:rsidRPr="009E3272" w:rsidRDefault="00E85586" w:rsidP="00E85586">
            <w:pPr>
              <w:pStyle w:val="Odstavecseseznamem"/>
              <w:numPr>
                <w:ilvl w:val="0"/>
                <w:numId w:val="18"/>
              </w:numPr>
              <w:spacing w:before="120" w:after="120" w:line="240" w:lineRule="auto"/>
              <w:rPr>
                <w:rFonts w:ascii="Arial" w:hAnsi="Arial" w:cs="Arial"/>
                <w:sz w:val="20"/>
                <w:szCs w:val="20"/>
              </w:rPr>
            </w:pPr>
            <w:r w:rsidRPr="009E3272">
              <w:rPr>
                <w:rFonts w:ascii="Arial" w:hAnsi="Arial" w:cs="Arial"/>
                <w:sz w:val="20"/>
                <w:szCs w:val="20"/>
              </w:rPr>
              <w:t>týká se firem v podnikové sféře, zaměstnanci musí být v pracovním poměru a musí se účastnit nemocenského a důchodového pojištění.</w:t>
            </w:r>
          </w:p>
          <w:p w:rsidR="00E85586" w:rsidRDefault="00E85586" w:rsidP="00E85586">
            <w:pPr>
              <w:pStyle w:val="Odstavecseseznamem"/>
              <w:numPr>
                <w:ilvl w:val="0"/>
                <w:numId w:val="18"/>
              </w:numPr>
              <w:spacing w:before="120" w:after="120" w:line="240" w:lineRule="auto"/>
              <w:rPr>
                <w:rFonts w:ascii="Arial" w:hAnsi="Arial" w:cs="Arial"/>
                <w:sz w:val="20"/>
                <w:szCs w:val="20"/>
              </w:rPr>
            </w:pPr>
            <w:r>
              <w:rPr>
                <w:rFonts w:ascii="Arial" w:hAnsi="Arial" w:cs="Arial"/>
                <w:sz w:val="20"/>
                <w:szCs w:val="20"/>
              </w:rPr>
              <w:t>zaměstnavatel striktně dodržuje ZP</w:t>
            </w:r>
          </w:p>
          <w:p w:rsidR="00E85586" w:rsidRDefault="00E85586" w:rsidP="00E85586">
            <w:pPr>
              <w:pStyle w:val="Odstavecseseznamem"/>
              <w:numPr>
                <w:ilvl w:val="0"/>
                <w:numId w:val="18"/>
              </w:numPr>
              <w:spacing w:before="120" w:after="120" w:line="240" w:lineRule="auto"/>
              <w:rPr>
                <w:rFonts w:ascii="Arial" w:hAnsi="Arial" w:cs="Arial"/>
                <w:sz w:val="20"/>
                <w:szCs w:val="20"/>
              </w:rPr>
            </w:pPr>
            <w:r>
              <w:rPr>
                <w:rFonts w:ascii="Arial" w:hAnsi="Arial" w:cs="Arial"/>
                <w:sz w:val="20"/>
                <w:szCs w:val="20"/>
              </w:rPr>
              <w:t>zaměstnanec nesmí být ve výpovědní lhůtě a nesmí mu být dána výpověď</w:t>
            </w:r>
          </w:p>
          <w:p w:rsidR="008F49C7" w:rsidRPr="000D44AF" w:rsidRDefault="00E85586" w:rsidP="000D44AF">
            <w:pPr>
              <w:pStyle w:val="Odstavecseseznamem"/>
              <w:numPr>
                <w:ilvl w:val="0"/>
                <w:numId w:val="18"/>
              </w:numPr>
              <w:spacing w:before="120" w:after="120" w:line="240" w:lineRule="auto"/>
              <w:rPr>
                <w:rFonts w:ascii="Arial" w:hAnsi="Arial" w:cs="Arial"/>
                <w:sz w:val="20"/>
                <w:szCs w:val="20"/>
              </w:rPr>
            </w:pPr>
            <w:r w:rsidRPr="000D44AF">
              <w:rPr>
                <w:rFonts w:ascii="Arial" w:hAnsi="Arial" w:cs="Arial"/>
                <w:sz w:val="20"/>
                <w:szCs w:val="20"/>
              </w:rPr>
              <w:t>zaměstnavatel musí vyplatit mzdu a odvést odvody</w:t>
            </w:r>
          </w:p>
        </w:tc>
        <w:tc>
          <w:tcPr>
            <w:tcW w:w="4536" w:type="dxa"/>
            <w:shd w:val="clear" w:color="auto" w:fill="auto"/>
          </w:tcPr>
          <w:p w:rsidR="009B5493" w:rsidRPr="00565B06" w:rsidRDefault="006C0A05" w:rsidP="007A4E5F">
            <w:pPr>
              <w:spacing w:before="120" w:after="120" w:line="240" w:lineRule="auto"/>
              <w:rPr>
                <w:rFonts w:ascii="Arial" w:hAnsi="Arial" w:cs="Arial"/>
                <w:sz w:val="20"/>
                <w:szCs w:val="20"/>
              </w:rPr>
            </w:pPr>
            <w:hyperlink r:id="rId12" w:history="1">
              <w:r w:rsidR="009B5493">
                <w:rPr>
                  <w:rStyle w:val="Hypertextovodkaz"/>
                </w:rPr>
                <w:t>https://www.mpsv.cz/web/cz/antivirus</w:t>
              </w:r>
            </w:hyperlink>
          </w:p>
        </w:tc>
      </w:tr>
      <w:tr w:rsidR="00565B06" w:rsidRPr="00565B06" w:rsidTr="00CF249B">
        <w:trPr>
          <w:trHeight w:val="578"/>
        </w:trPr>
        <w:tc>
          <w:tcPr>
            <w:tcW w:w="1917" w:type="dxa"/>
            <w:shd w:val="clear" w:color="auto" w:fill="auto"/>
          </w:tcPr>
          <w:p w:rsidR="008F49C7" w:rsidRPr="00565B06" w:rsidRDefault="00332263" w:rsidP="007A4E5F">
            <w:pPr>
              <w:spacing w:before="120" w:after="120" w:line="240" w:lineRule="auto"/>
              <w:rPr>
                <w:rFonts w:ascii="Arial" w:hAnsi="Arial" w:cs="Arial"/>
                <w:b/>
                <w:sz w:val="20"/>
                <w:szCs w:val="20"/>
              </w:rPr>
            </w:pPr>
            <w:r w:rsidRPr="00565B06">
              <w:rPr>
                <w:rFonts w:ascii="Arial" w:hAnsi="Arial" w:cs="Arial"/>
                <w:b/>
                <w:sz w:val="20"/>
                <w:szCs w:val="20"/>
              </w:rPr>
              <w:t>Prodloužení</w:t>
            </w:r>
            <w:r>
              <w:rPr>
                <w:rFonts w:ascii="Arial" w:hAnsi="Arial" w:cs="Arial"/>
                <w:b/>
                <w:sz w:val="20"/>
                <w:szCs w:val="20"/>
              </w:rPr>
              <w:t xml:space="preserve"> doby Ošetřovného (OČR) pro zaměstnance</w:t>
            </w:r>
          </w:p>
        </w:tc>
        <w:tc>
          <w:tcPr>
            <w:tcW w:w="9560" w:type="dxa"/>
            <w:shd w:val="clear" w:color="auto" w:fill="auto"/>
          </w:tcPr>
          <w:p w:rsidR="008F49C7" w:rsidRDefault="00D91BD4" w:rsidP="00D45C6C">
            <w:pPr>
              <w:pStyle w:val="Odstavecseseznamem"/>
              <w:numPr>
                <w:ilvl w:val="0"/>
                <w:numId w:val="9"/>
              </w:numPr>
              <w:spacing w:before="120" w:after="120" w:line="240" w:lineRule="auto"/>
              <w:rPr>
                <w:rFonts w:ascii="Arial" w:hAnsi="Arial" w:cs="Arial"/>
                <w:sz w:val="20"/>
                <w:szCs w:val="20"/>
              </w:rPr>
            </w:pPr>
            <w:r>
              <w:rPr>
                <w:rFonts w:ascii="Arial" w:hAnsi="Arial" w:cs="Arial"/>
                <w:sz w:val="20"/>
                <w:szCs w:val="20"/>
              </w:rPr>
              <w:t>b</w:t>
            </w:r>
            <w:r w:rsidR="00565B06" w:rsidRPr="00D91BD4">
              <w:rPr>
                <w:rFonts w:ascii="Arial" w:hAnsi="Arial" w:cs="Arial"/>
                <w:sz w:val="20"/>
                <w:szCs w:val="20"/>
              </w:rPr>
              <w:t>ude umožněno čerpat OČR</w:t>
            </w:r>
            <w:r w:rsidR="00823DB0" w:rsidRPr="00D91BD4">
              <w:rPr>
                <w:rFonts w:ascii="Arial" w:hAnsi="Arial" w:cs="Arial"/>
                <w:sz w:val="20"/>
                <w:szCs w:val="20"/>
              </w:rPr>
              <w:t xml:space="preserve"> zaměstnancům </w:t>
            </w:r>
            <w:r w:rsidR="00565B06" w:rsidRPr="00D91BD4">
              <w:rPr>
                <w:rFonts w:ascii="Arial" w:hAnsi="Arial" w:cs="Arial"/>
                <w:sz w:val="20"/>
                <w:szCs w:val="20"/>
              </w:rPr>
              <w:t>po celou dobu uzavření škol</w:t>
            </w:r>
            <w:r w:rsidR="00D528F5" w:rsidRPr="00D91BD4">
              <w:rPr>
                <w:rFonts w:ascii="Arial" w:hAnsi="Arial" w:cs="Arial"/>
                <w:sz w:val="20"/>
                <w:szCs w:val="20"/>
              </w:rPr>
              <w:t>, školek nebo obdobných zařízení</w:t>
            </w:r>
            <w:r w:rsidR="00565B06" w:rsidRPr="00D91BD4">
              <w:rPr>
                <w:rFonts w:ascii="Arial" w:hAnsi="Arial" w:cs="Arial"/>
                <w:sz w:val="20"/>
                <w:szCs w:val="20"/>
              </w:rPr>
              <w:t xml:space="preserve"> a nárok bude i zpětně</w:t>
            </w:r>
          </w:p>
          <w:p w:rsidR="00D45C6C" w:rsidRDefault="00D45C6C" w:rsidP="00D45C6C">
            <w:pPr>
              <w:pStyle w:val="Odstavecseseznamem"/>
              <w:numPr>
                <w:ilvl w:val="0"/>
                <w:numId w:val="9"/>
              </w:numPr>
              <w:spacing w:before="120" w:after="120" w:line="240" w:lineRule="auto"/>
              <w:rPr>
                <w:rFonts w:ascii="Arial" w:hAnsi="Arial" w:cs="Arial"/>
                <w:sz w:val="20"/>
                <w:szCs w:val="20"/>
              </w:rPr>
            </w:pPr>
            <w:r>
              <w:rPr>
                <w:rFonts w:ascii="Arial" w:hAnsi="Arial" w:cs="Arial"/>
                <w:sz w:val="20"/>
                <w:szCs w:val="20"/>
              </w:rPr>
              <w:t xml:space="preserve">nárok na ošetřovné </w:t>
            </w:r>
            <w:r w:rsidRPr="00642E64">
              <w:rPr>
                <w:rFonts w:ascii="Arial" w:hAnsi="Arial" w:cs="Arial"/>
                <w:sz w:val="20"/>
                <w:szCs w:val="20"/>
              </w:rPr>
              <w:t>mají rodiče dětí mladších 13 let a bude vypláceno i při péči o starší hendikepované děti navštěvující školu. Stejně tak ho dostanou i lidé, kteří z důvodu uzavření zařízení některých sociálních služeb (denní stacionáře apod.) pečují o staršího hendikepovaného, který s nimi žije ve společné domácnosti.</w:t>
            </w:r>
          </w:p>
          <w:p w:rsidR="00D45C6C" w:rsidRPr="00D91BD4" w:rsidRDefault="00D45C6C" w:rsidP="00D45C6C">
            <w:pPr>
              <w:pStyle w:val="Odstavecseseznamem"/>
              <w:numPr>
                <w:ilvl w:val="0"/>
                <w:numId w:val="9"/>
              </w:numPr>
              <w:spacing w:before="120" w:after="120" w:line="240" w:lineRule="auto"/>
              <w:rPr>
                <w:rFonts w:ascii="Arial" w:hAnsi="Arial" w:cs="Arial"/>
                <w:sz w:val="20"/>
                <w:szCs w:val="20"/>
              </w:rPr>
            </w:pPr>
            <w:r>
              <w:rPr>
                <w:rFonts w:ascii="Arial" w:hAnsi="Arial" w:cs="Arial"/>
                <w:sz w:val="20"/>
                <w:szCs w:val="20"/>
              </w:rPr>
              <w:t xml:space="preserve">do 31. března </w:t>
            </w:r>
            <w:r w:rsidRPr="00642E64">
              <w:rPr>
                <w:rFonts w:ascii="Arial" w:hAnsi="Arial" w:cs="Arial"/>
                <w:sz w:val="20"/>
                <w:szCs w:val="20"/>
              </w:rPr>
              <w:t>bude poskytnuto ve výši 60 % denního vyměřovacího základu, od 1. dubna ve výši 80 %</w:t>
            </w:r>
            <w:r>
              <w:rPr>
                <w:rFonts w:ascii="Arial" w:hAnsi="Arial" w:cs="Arial"/>
                <w:sz w:val="20"/>
                <w:szCs w:val="20"/>
              </w:rPr>
              <w:t xml:space="preserve"> denního vyměřovacího základu.</w:t>
            </w:r>
          </w:p>
        </w:tc>
        <w:tc>
          <w:tcPr>
            <w:tcW w:w="4536" w:type="dxa"/>
            <w:shd w:val="clear" w:color="auto" w:fill="auto"/>
          </w:tcPr>
          <w:p w:rsidR="00C8451C" w:rsidRPr="00565B06" w:rsidRDefault="006C0A05" w:rsidP="007A4E5F">
            <w:pPr>
              <w:spacing w:before="120" w:after="120" w:line="240" w:lineRule="auto"/>
              <w:rPr>
                <w:rFonts w:ascii="Arial" w:hAnsi="Arial" w:cs="Arial"/>
                <w:sz w:val="20"/>
                <w:szCs w:val="20"/>
              </w:rPr>
            </w:pPr>
            <w:hyperlink r:id="rId13" w:history="1">
              <w:r w:rsidR="00C8451C">
                <w:rPr>
                  <w:rStyle w:val="Hypertextovodkaz"/>
                </w:rPr>
                <w:t>https://www.mpsv.cz/web/cz/osetrovne</w:t>
              </w:r>
            </w:hyperlink>
          </w:p>
        </w:tc>
      </w:tr>
      <w:tr w:rsidR="000D44AF" w:rsidRPr="00565B06" w:rsidTr="00CF249B">
        <w:trPr>
          <w:trHeight w:val="578"/>
        </w:trPr>
        <w:tc>
          <w:tcPr>
            <w:tcW w:w="1917" w:type="dxa"/>
            <w:shd w:val="clear" w:color="auto" w:fill="auto"/>
          </w:tcPr>
          <w:p w:rsidR="000D44AF" w:rsidRDefault="000D44AF" w:rsidP="000D44AF">
            <w:pPr>
              <w:spacing w:before="120" w:after="120" w:line="240" w:lineRule="auto"/>
              <w:rPr>
                <w:rFonts w:ascii="Arial" w:hAnsi="Arial" w:cs="Arial"/>
                <w:b/>
                <w:sz w:val="20"/>
                <w:szCs w:val="20"/>
              </w:rPr>
            </w:pPr>
            <w:r w:rsidRPr="00DA20CB">
              <w:rPr>
                <w:rFonts w:ascii="Arial" w:hAnsi="Arial" w:cs="Arial"/>
                <w:b/>
                <w:sz w:val="20"/>
                <w:szCs w:val="20"/>
              </w:rPr>
              <w:t>Odložení splátek nájmu nebo podnájmu za prostory sloužící podnikání, zákaz výpovědi</w:t>
            </w:r>
          </w:p>
          <w:p w:rsidR="000D44AF" w:rsidRPr="00DA20CB" w:rsidRDefault="000D44AF" w:rsidP="000D44AF">
            <w:pPr>
              <w:spacing w:before="120" w:after="120" w:line="240" w:lineRule="auto"/>
              <w:rPr>
                <w:rFonts w:ascii="Arial" w:hAnsi="Arial" w:cs="Arial"/>
                <w:b/>
                <w:sz w:val="20"/>
                <w:szCs w:val="20"/>
              </w:rPr>
            </w:pPr>
          </w:p>
        </w:tc>
        <w:tc>
          <w:tcPr>
            <w:tcW w:w="9560" w:type="dxa"/>
            <w:shd w:val="clear" w:color="auto" w:fill="auto"/>
          </w:tcPr>
          <w:p w:rsidR="000D44AF" w:rsidRDefault="000D44AF" w:rsidP="000D44AF">
            <w:pPr>
              <w:pStyle w:val="Odstavecseseznamem"/>
              <w:numPr>
                <w:ilvl w:val="0"/>
                <w:numId w:val="11"/>
              </w:numPr>
              <w:spacing w:before="120" w:after="120" w:line="240" w:lineRule="auto"/>
              <w:rPr>
                <w:rFonts w:ascii="Arial" w:hAnsi="Arial" w:cs="Arial"/>
                <w:sz w:val="20"/>
                <w:szCs w:val="20"/>
              </w:rPr>
            </w:pPr>
            <w:r>
              <w:rPr>
                <w:rFonts w:ascii="Arial" w:hAnsi="Arial" w:cs="Arial"/>
                <w:sz w:val="20"/>
                <w:szCs w:val="20"/>
              </w:rPr>
              <w:t>p</w:t>
            </w:r>
            <w:r w:rsidRPr="00F03004">
              <w:rPr>
                <w:rFonts w:ascii="Arial" w:hAnsi="Arial" w:cs="Arial"/>
                <w:sz w:val="20"/>
                <w:szCs w:val="20"/>
              </w:rPr>
              <w:t>ronajímatel nemůže v ochranné době</w:t>
            </w:r>
            <w:r>
              <w:rPr>
                <w:rFonts w:ascii="Arial" w:hAnsi="Arial" w:cs="Arial"/>
                <w:sz w:val="20"/>
                <w:szCs w:val="20"/>
              </w:rPr>
              <w:t xml:space="preserve"> (od 27. 4. do 31. 12. 2020)</w:t>
            </w:r>
            <w:r w:rsidRPr="00F03004">
              <w:rPr>
                <w:rFonts w:ascii="Arial" w:hAnsi="Arial" w:cs="Arial"/>
                <w:sz w:val="20"/>
                <w:szCs w:val="20"/>
              </w:rPr>
              <w:t xml:space="preserve"> nájem jednostranně ukončit pouze z důvodu, že je nájemce v prodlení s placením nájemného spojeným s užíváním prostoru sloužícího k podnikání, pokud prodlení nastalo</w:t>
            </w:r>
            <w:r>
              <w:rPr>
                <w:rFonts w:ascii="Arial" w:hAnsi="Arial" w:cs="Arial"/>
                <w:sz w:val="20"/>
                <w:szCs w:val="20"/>
              </w:rPr>
              <w:t xml:space="preserve"> </w:t>
            </w:r>
            <w:r w:rsidRPr="00F03004">
              <w:rPr>
                <w:rFonts w:ascii="Arial" w:hAnsi="Arial" w:cs="Arial"/>
                <w:sz w:val="20"/>
                <w:szCs w:val="20"/>
              </w:rPr>
              <w:t>v rozhodné době</w:t>
            </w:r>
            <w:r>
              <w:rPr>
                <w:rFonts w:ascii="Arial" w:hAnsi="Arial" w:cs="Arial"/>
                <w:sz w:val="20"/>
                <w:szCs w:val="20"/>
              </w:rPr>
              <w:t xml:space="preserve"> (od 12. 3. do 30. 6. 2020</w:t>
            </w:r>
            <w:proofErr w:type="gramStart"/>
            <w:r>
              <w:rPr>
                <w:rFonts w:ascii="Arial" w:hAnsi="Arial" w:cs="Arial"/>
                <w:sz w:val="20"/>
                <w:szCs w:val="20"/>
              </w:rPr>
              <w:t xml:space="preserve">) </w:t>
            </w:r>
            <w:r w:rsidRPr="00F03004">
              <w:rPr>
                <w:rFonts w:ascii="Arial" w:hAnsi="Arial" w:cs="Arial"/>
                <w:sz w:val="20"/>
                <w:szCs w:val="20"/>
              </w:rPr>
              <w:t>,</w:t>
            </w:r>
            <w:proofErr w:type="gramEnd"/>
            <w:r w:rsidRPr="00F03004">
              <w:rPr>
                <w:rFonts w:ascii="Arial" w:hAnsi="Arial" w:cs="Arial"/>
                <w:sz w:val="20"/>
                <w:szCs w:val="20"/>
              </w:rPr>
              <w:t xml:space="preserve"> a</w:t>
            </w:r>
            <w:r>
              <w:rPr>
                <w:rFonts w:ascii="Arial" w:hAnsi="Arial" w:cs="Arial"/>
                <w:sz w:val="20"/>
                <w:szCs w:val="20"/>
              </w:rPr>
              <w:t xml:space="preserve"> </w:t>
            </w:r>
            <w:r w:rsidRPr="00F03004">
              <w:rPr>
                <w:rFonts w:ascii="Arial" w:hAnsi="Arial" w:cs="Arial"/>
                <w:sz w:val="20"/>
                <w:szCs w:val="20"/>
              </w:rPr>
              <w:t>v důsledku omezení plynoucího z mimořádného opatření při epidemii, které mu znemožňovalo nebo podstatně ztěžovalo provozování podnikatelské činnosti.</w:t>
            </w:r>
          </w:p>
          <w:p w:rsidR="000D44AF" w:rsidRPr="00D91BD4" w:rsidRDefault="000D44AF" w:rsidP="000D44AF">
            <w:pPr>
              <w:pStyle w:val="Odstavecseseznamem"/>
              <w:numPr>
                <w:ilvl w:val="0"/>
                <w:numId w:val="11"/>
              </w:numPr>
              <w:spacing w:before="120" w:after="120" w:line="240" w:lineRule="auto"/>
              <w:rPr>
                <w:rFonts w:ascii="Arial" w:hAnsi="Arial" w:cs="Arial"/>
                <w:sz w:val="20"/>
                <w:szCs w:val="20"/>
              </w:rPr>
            </w:pPr>
            <w:r>
              <w:rPr>
                <w:rFonts w:ascii="Arial" w:hAnsi="Arial" w:cs="Arial"/>
                <w:sz w:val="20"/>
                <w:szCs w:val="20"/>
              </w:rPr>
              <w:t>n</w:t>
            </w:r>
            <w:r w:rsidRPr="00F03004">
              <w:rPr>
                <w:rFonts w:ascii="Arial" w:hAnsi="Arial" w:cs="Arial"/>
                <w:sz w:val="20"/>
                <w:szCs w:val="20"/>
              </w:rPr>
              <w:t>ájemce je povinen uhradit všechny pohledávky, které se staly splatnými v rozhodné době a které nájemce řádně neuhradil, do konce ochranné doby. Neuhradí-li nájemce v ochranné době všechny dluhy na nájemném, které se staly splatnými v rozhodné době, má pronajímatel právo vypovědět nájem; výpovědní doba činí 5 dní.</w:t>
            </w:r>
          </w:p>
        </w:tc>
        <w:tc>
          <w:tcPr>
            <w:tcW w:w="4536" w:type="dxa"/>
            <w:shd w:val="clear" w:color="auto" w:fill="auto"/>
          </w:tcPr>
          <w:p w:rsidR="000D44AF" w:rsidRPr="004F262A" w:rsidRDefault="000D44AF" w:rsidP="000D44AF">
            <w:pPr>
              <w:pStyle w:val="Odstavecseseznamem"/>
              <w:numPr>
                <w:ilvl w:val="0"/>
                <w:numId w:val="11"/>
              </w:numPr>
              <w:spacing w:before="120" w:after="120" w:line="240" w:lineRule="auto"/>
              <w:rPr>
                <w:rFonts w:ascii="Arial" w:hAnsi="Arial" w:cs="Arial"/>
                <w:sz w:val="20"/>
                <w:szCs w:val="20"/>
              </w:rPr>
            </w:pPr>
            <w:r>
              <w:rPr>
                <w:rFonts w:ascii="Arial" w:hAnsi="Arial" w:cs="Arial"/>
                <w:sz w:val="20"/>
                <w:szCs w:val="20"/>
              </w:rPr>
              <w:t xml:space="preserve">Zákon č. 210/2020 Sb. </w:t>
            </w:r>
            <w:r w:rsidRPr="00F03004">
              <w:rPr>
                <w:rFonts w:ascii="Arial" w:hAnsi="Arial" w:cs="Arial"/>
                <w:sz w:val="20"/>
                <w:szCs w:val="20"/>
              </w:rPr>
              <w:t xml:space="preserve">o některých opatřeních ke zmírnění dopadů epidemie </w:t>
            </w:r>
            <w:proofErr w:type="spellStart"/>
            <w:r w:rsidRPr="00F03004">
              <w:rPr>
                <w:rFonts w:ascii="Arial" w:hAnsi="Arial" w:cs="Arial"/>
                <w:sz w:val="20"/>
                <w:szCs w:val="20"/>
              </w:rPr>
              <w:t>koronaviru</w:t>
            </w:r>
            <w:proofErr w:type="spellEnd"/>
            <w:r w:rsidRPr="00F03004">
              <w:rPr>
                <w:rFonts w:ascii="Arial" w:hAnsi="Arial" w:cs="Arial"/>
                <w:sz w:val="20"/>
                <w:szCs w:val="20"/>
              </w:rPr>
              <w:t xml:space="preserve"> SARS CoV-2 na nájemce prostor sloužících podnikání</w:t>
            </w:r>
          </w:p>
        </w:tc>
      </w:tr>
      <w:tr w:rsidR="000D4733" w:rsidRPr="00565B06" w:rsidTr="00CF249B">
        <w:trPr>
          <w:trHeight w:val="578"/>
        </w:trPr>
        <w:tc>
          <w:tcPr>
            <w:tcW w:w="1917" w:type="dxa"/>
            <w:shd w:val="clear" w:color="auto" w:fill="auto"/>
          </w:tcPr>
          <w:p w:rsidR="000D4733" w:rsidRPr="00D91BD4" w:rsidRDefault="000D4733" w:rsidP="000D4733">
            <w:pPr>
              <w:spacing w:before="120" w:after="120" w:line="240" w:lineRule="auto"/>
              <w:rPr>
                <w:rFonts w:ascii="Arial" w:hAnsi="Arial" w:cs="Arial"/>
                <w:b/>
                <w:sz w:val="20"/>
                <w:szCs w:val="20"/>
              </w:rPr>
            </w:pPr>
            <w:r w:rsidRPr="00D91BD4">
              <w:rPr>
                <w:rFonts w:ascii="Arial" w:hAnsi="Arial" w:cs="Arial"/>
                <w:b/>
                <w:sz w:val="20"/>
                <w:szCs w:val="20"/>
              </w:rPr>
              <w:t>Odložení splácení úvěrů</w:t>
            </w:r>
          </w:p>
        </w:tc>
        <w:tc>
          <w:tcPr>
            <w:tcW w:w="9560" w:type="dxa"/>
            <w:shd w:val="clear" w:color="auto" w:fill="auto"/>
          </w:tcPr>
          <w:p w:rsidR="000D4733" w:rsidRPr="00D91BD4" w:rsidRDefault="00D91BD4" w:rsidP="006D6C94">
            <w:pPr>
              <w:pStyle w:val="Odstavecseseznamem"/>
              <w:numPr>
                <w:ilvl w:val="0"/>
                <w:numId w:val="12"/>
              </w:numPr>
              <w:spacing w:before="120" w:after="120" w:line="240" w:lineRule="auto"/>
              <w:rPr>
                <w:rFonts w:ascii="Arial" w:hAnsi="Arial" w:cs="Arial"/>
                <w:sz w:val="20"/>
                <w:szCs w:val="20"/>
              </w:rPr>
            </w:pPr>
            <w:r>
              <w:rPr>
                <w:rFonts w:ascii="Arial" w:hAnsi="Arial" w:cs="Arial"/>
                <w:sz w:val="20"/>
                <w:szCs w:val="20"/>
              </w:rPr>
              <w:t>j</w:t>
            </w:r>
            <w:r w:rsidR="000D4733" w:rsidRPr="00D91BD4">
              <w:rPr>
                <w:rFonts w:ascii="Arial" w:hAnsi="Arial" w:cs="Arial"/>
                <w:sz w:val="20"/>
                <w:szCs w:val="20"/>
              </w:rPr>
              <w:t>e umožněno dlužníkům požádat o odklad splácení úvěrů, pokud ho sjednali a čerpali před 26. 3. 2020</w:t>
            </w:r>
          </w:p>
          <w:p w:rsidR="000D4733" w:rsidRPr="00D91BD4" w:rsidRDefault="00D91BD4" w:rsidP="006D6C94">
            <w:pPr>
              <w:pStyle w:val="Odstavecseseznamem"/>
              <w:numPr>
                <w:ilvl w:val="0"/>
                <w:numId w:val="12"/>
              </w:numPr>
              <w:spacing w:before="120" w:after="120" w:line="240" w:lineRule="auto"/>
              <w:rPr>
                <w:rFonts w:ascii="Arial" w:hAnsi="Arial" w:cs="Arial"/>
                <w:sz w:val="20"/>
                <w:szCs w:val="20"/>
              </w:rPr>
            </w:pPr>
            <w:r>
              <w:rPr>
                <w:rFonts w:ascii="Arial" w:hAnsi="Arial" w:cs="Arial"/>
                <w:sz w:val="20"/>
                <w:szCs w:val="20"/>
              </w:rPr>
              <w:t>v</w:t>
            </w:r>
            <w:r w:rsidR="000D4733" w:rsidRPr="00D91BD4">
              <w:rPr>
                <w:rFonts w:ascii="Arial" w:hAnsi="Arial" w:cs="Arial"/>
                <w:sz w:val="20"/>
                <w:szCs w:val="20"/>
              </w:rPr>
              <w:t>ztahuje se na úvěr zajištěný nemovitostí; poskytnutý stavební spořitelnou; určený k nabytí nemovitosti, výstavbě nemovitosti, úhradě převodu družstevního podílu v družstvu, nabytí účasti na právnické osobě k získání práva užívání bytu/domu, změně stavby nebo jejímu připojení k veřejným sítím, úhradě nákladů spojených se získáním úvěru k výše uvedeným účelům, splacení úvěru poskytnutého k výše uvedeným účelům</w:t>
            </w:r>
          </w:p>
          <w:p w:rsidR="000D4733" w:rsidRPr="00D91BD4" w:rsidRDefault="00D91BD4" w:rsidP="006D6C94">
            <w:pPr>
              <w:pStyle w:val="Odstavecseseznamem"/>
              <w:numPr>
                <w:ilvl w:val="0"/>
                <w:numId w:val="12"/>
              </w:numPr>
              <w:spacing w:before="120" w:after="120" w:line="240" w:lineRule="auto"/>
              <w:rPr>
                <w:rFonts w:ascii="Arial" w:hAnsi="Arial" w:cs="Arial"/>
                <w:sz w:val="20"/>
                <w:szCs w:val="20"/>
              </w:rPr>
            </w:pPr>
            <w:r>
              <w:rPr>
                <w:rFonts w:ascii="Arial" w:hAnsi="Arial" w:cs="Arial"/>
                <w:sz w:val="20"/>
                <w:szCs w:val="20"/>
              </w:rPr>
              <w:t>j</w:t>
            </w:r>
            <w:r w:rsidR="000D4733" w:rsidRPr="00D91BD4">
              <w:rPr>
                <w:rFonts w:ascii="Arial" w:hAnsi="Arial" w:cs="Arial"/>
                <w:sz w:val="20"/>
                <w:szCs w:val="20"/>
              </w:rPr>
              <w:t xml:space="preserve"> stanoven ochranná doba, která trvá od prvního dne prvního kalendářního měsíce následujícího po dni, v němž úvěrujícímu došlo oznámení úvěrovaného, že má v úmyslu využít ochrannou dobu</w:t>
            </w:r>
            <w:r>
              <w:rPr>
                <w:rFonts w:ascii="Arial" w:hAnsi="Arial" w:cs="Arial"/>
                <w:sz w:val="20"/>
                <w:szCs w:val="20"/>
              </w:rPr>
              <w:t>,</w:t>
            </w:r>
            <w:r w:rsidR="000D4733" w:rsidRPr="00D91BD4">
              <w:rPr>
                <w:rFonts w:ascii="Arial" w:hAnsi="Arial" w:cs="Arial"/>
                <w:sz w:val="20"/>
                <w:szCs w:val="20"/>
              </w:rPr>
              <w:t xml:space="preserve"> </w:t>
            </w:r>
            <w:r>
              <w:rPr>
                <w:rFonts w:ascii="Arial" w:hAnsi="Arial" w:cs="Arial"/>
                <w:sz w:val="20"/>
                <w:szCs w:val="20"/>
              </w:rPr>
              <w:t>o</w:t>
            </w:r>
            <w:r w:rsidR="000D4733" w:rsidRPr="00D91BD4">
              <w:rPr>
                <w:rFonts w:ascii="Arial" w:hAnsi="Arial" w:cs="Arial"/>
                <w:sz w:val="20"/>
                <w:szCs w:val="20"/>
              </w:rPr>
              <w:t>chranná doba trvá 6 nebo 3 měsíce</w:t>
            </w:r>
            <w:r>
              <w:rPr>
                <w:rFonts w:ascii="Arial" w:hAnsi="Arial" w:cs="Arial"/>
                <w:sz w:val="20"/>
                <w:szCs w:val="20"/>
              </w:rPr>
              <w:t>m</w:t>
            </w:r>
            <w:r w:rsidR="000D4733" w:rsidRPr="00D91BD4">
              <w:rPr>
                <w:rFonts w:ascii="Arial" w:hAnsi="Arial" w:cs="Arial"/>
                <w:sz w:val="20"/>
                <w:szCs w:val="20"/>
              </w:rPr>
              <w:t xml:space="preserve"> </w:t>
            </w:r>
          </w:p>
          <w:p w:rsidR="000D4733" w:rsidRPr="00D91BD4" w:rsidRDefault="000D4733" w:rsidP="000D4733">
            <w:pPr>
              <w:pStyle w:val="Odstavecseseznamem"/>
              <w:spacing w:before="120" w:after="120" w:line="240" w:lineRule="auto"/>
              <w:ind w:left="315"/>
              <w:rPr>
                <w:rFonts w:ascii="Arial" w:hAnsi="Arial" w:cs="Arial"/>
                <w:sz w:val="20"/>
                <w:szCs w:val="20"/>
              </w:rPr>
            </w:pPr>
          </w:p>
        </w:tc>
        <w:tc>
          <w:tcPr>
            <w:tcW w:w="4536" w:type="dxa"/>
            <w:shd w:val="clear" w:color="auto" w:fill="auto"/>
          </w:tcPr>
          <w:p w:rsidR="00DF1497" w:rsidRPr="004F262A" w:rsidRDefault="00FA6234" w:rsidP="00FA6234">
            <w:pPr>
              <w:pStyle w:val="Odstavecseseznamem"/>
              <w:numPr>
                <w:ilvl w:val="0"/>
                <w:numId w:val="11"/>
              </w:numPr>
              <w:spacing w:before="120" w:after="120" w:line="240" w:lineRule="auto"/>
              <w:rPr>
                <w:rFonts w:ascii="Arial" w:hAnsi="Arial" w:cs="Arial"/>
                <w:sz w:val="20"/>
                <w:szCs w:val="20"/>
              </w:rPr>
            </w:pPr>
            <w:r>
              <w:rPr>
                <w:rFonts w:ascii="Arial" w:hAnsi="Arial" w:cs="Arial"/>
                <w:sz w:val="20"/>
                <w:szCs w:val="20"/>
              </w:rPr>
              <w:lastRenderedPageBreak/>
              <w:t>Z</w:t>
            </w:r>
            <w:r w:rsidR="00DF1497" w:rsidRPr="00FA6234">
              <w:rPr>
                <w:rFonts w:ascii="Arial" w:hAnsi="Arial" w:cs="Arial"/>
                <w:sz w:val="20"/>
                <w:szCs w:val="20"/>
              </w:rPr>
              <w:t>ákon č. 177/2020 Sb. o některých opatřeních v oblasti splácení úvěrů v souvislosti s pandemií COVID-19</w:t>
            </w:r>
          </w:p>
          <w:p w:rsidR="000D4733" w:rsidRDefault="006C0A05" w:rsidP="000D4733">
            <w:pPr>
              <w:spacing w:before="120" w:after="120" w:line="240" w:lineRule="auto"/>
              <w:rPr>
                <w:rStyle w:val="Hypertextovodkaz"/>
              </w:rPr>
            </w:pPr>
            <w:hyperlink r:id="rId14" w:history="1">
              <w:r w:rsidR="000D4733">
                <w:rPr>
                  <w:rStyle w:val="Hypertextovodkaz"/>
                </w:rPr>
                <w:t>https://www.mfcr.cz/cs/aktualne/tiskove-zpravy/2020/senat-dal-zelenou-pulrocnimu-odkladu-spl-38183</w:t>
              </w:r>
            </w:hyperlink>
          </w:p>
          <w:p w:rsidR="000D4733" w:rsidRPr="00484206" w:rsidRDefault="000D4733" w:rsidP="00DF1497">
            <w:pPr>
              <w:spacing w:before="120" w:after="120" w:line="240" w:lineRule="auto"/>
              <w:rPr>
                <w:rFonts w:ascii="Arial" w:hAnsi="Arial" w:cs="Arial"/>
                <w:color w:val="auto"/>
                <w:sz w:val="20"/>
                <w:szCs w:val="20"/>
              </w:rPr>
            </w:pPr>
          </w:p>
        </w:tc>
      </w:tr>
      <w:tr w:rsidR="00B6569B" w:rsidRPr="00565B06" w:rsidTr="00CF249B">
        <w:trPr>
          <w:trHeight w:val="578"/>
        </w:trPr>
        <w:tc>
          <w:tcPr>
            <w:tcW w:w="1917" w:type="dxa"/>
            <w:shd w:val="clear" w:color="auto" w:fill="auto"/>
          </w:tcPr>
          <w:p w:rsidR="00B6569B" w:rsidRPr="00DA20CB" w:rsidRDefault="00B6569B" w:rsidP="00B6569B">
            <w:pPr>
              <w:spacing w:before="120" w:after="120" w:line="240" w:lineRule="auto"/>
              <w:rPr>
                <w:rFonts w:ascii="Arial" w:hAnsi="Arial" w:cs="Arial"/>
                <w:b/>
                <w:sz w:val="20"/>
                <w:szCs w:val="20"/>
              </w:rPr>
            </w:pPr>
            <w:r>
              <w:rPr>
                <w:rFonts w:ascii="Arial" w:hAnsi="Arial" w:cs="Arial"/>
                <w:b/>
                <w:sz w:val="20"/>
                <w:szCs w:val="20"/>
              </w:rPr>
              <w:t>Odklad daně z nemovitých věcí</w:t>
            </w:r>
          </w:p>
        </w:tc>
        <w:tc>
          <w:tcPr>
            <w:tcW w:w="9560" w:type="dxa"/>
            <w:shd w:val="clear" w:color="auto" w:fill="auto"/>
          </w:tcPr>
          <w:p w:rsidR="00B6569B" w:rsidRDefault="00B6569B" w:rsidP="00B6569B">
            <w:pPr>
              <w:pStyle w:val="Odstavecseseznamem"/>
              <w:numPr>
                <w:ilvl w:val="0"/>
                <w:numId w:val="11"/>
              </w:numPr>
              <w:spacing w:before="120" w:after="120" w:line="240" w:lineRule="auto"/>
              <w:rPr>
                <w:rFonts w:ascii="Arial" w:hAnsi="Arial" w:cs="Arial"/>
                <w:sz w:val="20"/>
                <w:szCs w:val="20"/>
              </w:rPr>
            </w:pPr>
            <w:r w:rsidRPr="00947E0B">
              <w:rPr>
                <w:rFonts w:ascii="Arial" w:hAnsi="Arial" w:cs="Arial"/>
                <w:sz w:val="20"/>
                <w:szCs w:val="20"/>
              </w:rPr>
              <w:t>Daň nebo splátku daně, která nepřevýší částku 5 000 korun, postačí uhradit bez sankce do 31. července 2020. Ti, kteří platí více než 5000 korun, a dostali se kvůli opatřením vlády do finančních potíží, mohou využít žádosti o „posečkání daně“ podle § 156 Daňového řádu. „Do 31. července 2020 lze podat bez správního poplatku individuální žádost o prominutí případného úroku nebo úroku z posečkané částky.</w:t>
            </w:r>
          </w:p>
        </w:tc>
        <w:tc>
          <w:tcPr>
            <w:tcW w:w="4536" w:type="dxa"/>
            <w:shd w:val="clear" w:color="auto" w:fill="auto"/>
          </w:tcPr>
          <w:p w:rsidR="00B6569B" w:rsidRDefault="00B6569B" w:rsidP="00B6569B">
            <w:pPr>
              <w:pStyle w:val="Odstavecseseznamem"/>
              <w:numPr>
                <w:ilvl w:val="0"/>
                <w:numId w:val="20"/>
              </w:numPr>
              <w:spacing w:before="120" w:after="120" w:line="240" w:lineRule="auto"/>
              <w:rPr>
                <w:rFonts w:ascii="Arial" w:hAnsi="Arial" w:cs="Arial"/>
                <w:sz w:val="20"/>
                <w:szCs w:val="20"/>
              </w:rPr>
            </w:pPr>
          </w:p>
        </w:tc>
      </w:tr>
      <w:tr w:rsidR="00B6569B" w:rsidRPr="00565B06" w:rsidTr="00CF249B">
        <w:trPr>
          <w:trHeight w:val="578"/>
        </w:trPr>
        <w:tc>
          <w:tcPr>
            <w:tcW w:w="1917" w:type="dxa"/>
            <w:shd w:val="clear" w:color="auto" w:fill="auto"/>
          </w:tcPr>
          <w:p w:rsidR="00B6569B" w:rsidRDefault="00B6569B" w:rsidP="00B6569B">
            <w:pPr>
              <w:spacing w:before="120" w:after="120" w:line="240" w:lineRule="auto"/>
              <w:rPr>
                <w:rFonts w:ascii="Arial" w:hAnsi="Arial" w:cs="Arial"/>
                <w:b/>
                <w:sz w:val="20"/>
                <w:szCs w:val="20"/>
              </w:rPr>
            </w:pPr>
            <w:r>
              <w:rPr>
                <w:rFonts w:ascii="Arial" w:hAnsi="Arial" w:cs="Arial"/>
                <w:b/>
                <w:sz w:val="20"/>
                <w:szCs w:val="20"/>
              </w:rPr>
              <w:t>Zrušení daně z nabytí nemovitých věcí</w:t>
            </w:r>
          </w:p>
        </w:tc>
        <w:tc>
          <w:tcPr>
            <w:tcW w:w="9560" w:type="dxa"/>
            <w:shd w:val="clear" w:color="auto" w:fill="auto"/>
          </w:tcPr>
          <w:p w:rsidR="00B6569B" w:rsidRPr="00947E0B" w:rsidRDefault="00B6569B" w:rsidP="00B6569B">
            <w:pPr>
              <w:pStyle w:val="Odstavecseseznamem"/>
              <w:numPr>
                <w:ilvl w:val="0"/>
                <w:numId w:val="11"/>
              </w:numPr>
              <w:spacing w:before="120" w:after="120" w:line="240" w:lineRule="auto"/>
              <w:rPr>
                <w:rFonts w:ascii="Arial" w:hAnsi="Arial" w:cs="Arial"/>
                <w:sz w:val="20"/>
                <w:szCs w:val="20"/>
              </w:rPr>
            </w:pPr>
            <w:r w:rsidRPr="00947E0B">
              <w:rPr>
                <w:rFonts w:ascii="Arial" w:hAnsi="Arial" w:cs="Arial"/>
                <w:sz w:val="20"/>
                <w:szCs w:val="20"/>
              </w:rPr>
              <w:t>Zrušení daně z nabytí nemovitých věcí ve výši 4 % z celkové kupní ceny. Vládní návrh zákona ruší daň z nabytí nemovitých věcí se zpětným účinkem. Daň již nezaplatí nikdo, kdo nemovitost nabyl nejpozději v prosinci 2019.</w:t>
            </w:r>
          </w:p>
        </w:tc>
        <w:tc>
          <w:tcPr>
            <w:tcW w:w="4536" w:type="dxa"/>
            <w:shd w:val="clear" w:color="auto" w:fill="auto"/>
          </w:tcPr>
          <w:p w:rsidR="00B6569B" w:rsidRDefault="00B6569B" w:rsidP="00B6569B">
            <w:pPr>
              <w:pStyle w:val="Odstavecseseznamem"/>
              <w:numPr>
                <w:ilvl w:val="0"/>
                <w:numId w:val="20"/>
              </w:numPr>
              <w:spacing w:before="120" w:after="120" w:line="240" w:lineRule="auto"/>
              <w:rPr>
                <w:rFonts w:ascii="Arial" w:hAnsi="Arial" w:cs="Arial"/>
                <w:sz w:val="20"/>
                <w:szCs w:val="20"/>
              </w:rPr>
            </w:pPr>
          </w:p>
        </w:tc>
      </w:tr>
      <w:tr w:rsidR="00B6569B" w:rsidRPr="00565B06" w:rsidTr="00CF249B">
        <w:trPr>
          <w:trHeight w:val="578"/>
        </w:trPr>
        <w:tc>
          <w:tcPr>
            <w:tcW w:w="1917" w:type="dxa"/>
            <w:shd w:val="clear" w:color="auto" w:fill="auto"/>
          </w:tcPr>
          <w:p w:rsidR="00B6569B" w:rsidRDefault="00B6569B" w:rsidP="00B6569B">
            <w:pPr>
              <w:spacing w:before="120" w:after="120" w:line="240" w:lineRule="auto"/>
              <w:rPr>
                <w:rFonts w:ascii="Arial" w:hAnsi="Arial" w:cs="Arial"/>
                <w:b/>
                <w:sz w:val="20"/>
                <w:szCs w:val="20"/>
              </w:rPr>
            </w:pPr>
            <w:r>
              <w:rPr>
                <w:rFonts w:ascii="Arial" w:hAnsi="Arial" w:cs="Arial"/>
                <w:b/>
                <w:sz w:val="20"/>
                <w:szCs w:val="20"/>
              </w:rPr>
              <w:t>Poplatky za odesílání da</w:t>
            </w:r>
            <w:r w:rsidR="00627E1A">
              <w:rPr>
                <w:rFonts w:ascii="Arial" w:hAnsi="Arial" w:cs="Arial"/>
                <w:b/>
                <w:sz w:val="20"/>
                <w:szCs w:val="20"/>
              </w:rPr>
              <w:t>tových</w:t>
            </w:r>
            <w:r>
              <w:rPr>
                <w:rFonts w:ascii="Arial" w:hAnsi="Arial" w:cs="Arial"/>
                <w:b/>
                <w:sz w:val="20"/>
                <w:szCs w:val="20"/>
              </w:rPr>
              <w:t xml:space="preserve"> zpráv</w:t>
            </w:r>
          </w:p>
        </w:tc>
        <w:tc>
          <w:tcPr>
            <w:tcW w:w="9560" w:type="dxa"/>
            <w:shd w:val="clear" w:color="auto" w:fill="auto"/>
          </w:tcPr>
          <w:p w:rsidR="00B6569B" w:rsidRPr="00947E0B" w:rsidRDefault="00B6569B" w:rsidP="00B6569B">
            <w:pPr>
              <w:pStyle w:val="Odstavecseseznamem"/>
              <w:numPr>
                <w:ilvl w:val="0"/>
                <w:numId w:val="11"/>
              </w:numPr>
              <w:spacing w:before="120" w:after="120" w:line="240" w:lineRule="auto"/>
              <w:rPr>
                <w:rFonts w:ascii="Arial" w:hAnsi="Arial" w:cs="Arial"/>
                <w:sz w:val="20"/>
                <w:szCs w:val="20"/>
              </w:rPr>
            </w:pPr>
            <w:r w:rsidRPr="00947E0B">
              <w:rPr>
                <w:rFonts w:ascii="Arial" w:hAnsi="Arial" w:cs="Arial"/>
                <w:sz w:val="20"/>
                <w:szCs w:val="20"/>
              </w:rPr>
              <w:t>Zrušení poplatků za odesílání datových zpráv. Platí od 24. března do odvolání, jde o podporu dálkové formy kontaktů s úřady a institucemi.</w:t>
            </w:r>
          </w:p>
        </w:tc>
        <w:tc>
          <w:tcPr>
            <w:tcW w:w="4536" w:type="dxa"/>
            <w:shd w:val="clear" w:color="auto" w:fill="auto"/>
          </w:tcPr>
          <w:p w:rsidR="00B6569B" w:rsidRDefault="00B6569B" w:rsidP="00B6569B">
            <w:pPr>
              <w:pStyle w:val="Odstavecseseznamem"/>
              <w:numPr>
                <w:ilvl w:val="0"/>
                <w:numId w:val="20"/>
              </w:numPr>
              <w:spacing w:before="120" w:after="120" w:line="240" w:lineRule="auto"/>
              <w:rPr>
                <w:rFonts w:ascii="Arial" w:hAnsi="Arial" w:cs="Arial"/>
                <w:sz w:val="20"/>
                <w:szCs w:val="20"/>
              </w:rPr>
            </w:pPr>
          </w:p>
        </w:tc>
      </w:tr>
      <w:tr w:rsidR="00B6569B" w:rsidRPr="00565B06" w:rsidTr="00CF249B">
        <w:trPr>
          <w:trHeight w:val="578"/>
        </w:trPr>
        <w:tc>
          <w:tcPr>
            <w:tcW w:w="1917" w:type="dxa"/>
            <w:shd w:val="clear" w:color="auto" w:fill="auto"/>
          </w:tcPr>
          <w:p w:rsidR="00B6569B" w:rsidRDefault="00B6569B" w:rsidP="00B6569B">
            <w:pPr>
              <w:spacing w:before="120" w:after="120" w:line="240" w:lineRule="auto"/>
              <w:rPr>
                <w:rFonts w:ascii="Arial" w:hAnsi="Arial" w:cs="Arial"/>
                <w:b/>
                <w:sz w:val="20"/>
                <w:szCs w:val="20"/>
              </w:rPr>
            </w:pPr>
            <w:r>
              <w:rPr>
                <w:rFonts w:ascii="Arial" w:hAnsi="Arial" w:cs="Arial"/>
                <w:b/>
                <w:sz w:val="20"/>
                <w:szCs w:val="20"/>
              </w:rPr>
              <w:t>Posečkání úhrady daně</w:t>
            </w:r>
          </w:p>
        </w:tc>
        <w:tc>
          <w:tcPr>
            <w:tcW w:w="9560" w:type="dxa"/>
            <w:shd w:val="clear" w:color="auto" w:fill="auto"/>
          </w:tcPr>
          <w:p w:rsidR="00B6569B" w:rsidRDefault="00B6569B" w:rsidP="00B6569B">
            <w:pPr>
              <w:pStyle w:val="Odstavecseseznamem"/>
              <w:numPr>
                <w:ilvl w:val="0"/>
                <w:numId w:val="11"/>
              </w:numPr>
              <w:spacing w:before="120" w:after="120" w:line="240" w:lineRule="auto"/>
              <w:rPr>
                <w:rFonts w:ascii="Arial" w:hAnsi="Arial" w:cs="Arial"/>
                <w:sz w:val="20"/>
                <w:szCs w:val="20"/>
              </w:rPr>
            </w:pPr>
            <w:r w:rsidRPr="00947E0B">
              <w:rPr>
                <w:rFonts w:ascii="Arial" w:hAnsi="Arial" w:cs="Arial"/>
                <w:sz w:val="20"/>
                <w:szCs w:val="20"/>
              </w:rPr>
              <w:t>Daňový subjekt může z důvodu tíživé sociální či ekonomické situace požádat správce daně o posečkání úhrady daně, popř. její rozložení na splátky. Správce daně může povolit posečkání z následujících důvodů:</w:t>
            </w:r>
          </w:p>
          <w:p w:rsidR="00B6569B" w:rsidRPr="00947E0B" w:rsidRDefault="00B6569B" w:rsidP="00B6569B">
            <w:pPr>
              <w:pStyle w:val="Odstavecseseznamem"/>
              <w:numPr>
                <w:ilvl w:val="1"/>
                <w:numId w:val="11"/>
              </w:numPr>
              <w:spacing w:before="120" w:after="120" w:line="240" w:lineRule="auto"/>
              <w:ind w:left="720"/>
              <w:rPr>
                <w:rFonts w:ascii="Arial" w:hAnsi="Arial" w:cs="Arial"/>
                <w:sz w:val="20"/>
                <w:szCs w:val="20"/>
              </w:rPr>
            </w:pPr>
            <w:r w:rsidRPr="00947E0B">
              <w:rPr>
                <w:rFonts w:ascii="Arial" w:hAnsi="Arial" w:cs="Arial"/>
                <w:sz w:val="20"/>
                <w:szCs w:val="20"/>
              </w:rPr>
              <w:t>pokud by neprodlená úhrada znamenala pro daňový subjekt vážnou újmu dle § 156 odst. 1 písm. a) daňového řádu (např. ztráta klíčových zakázek či zaměstnanců, omezení provozuschopnosti apod.). Podnikatelé doloží např.  smlouvy s obchodními partnery, doklady o povinných platbách souvisejících s provozem podnikání,</w:t>
            </w:r>
          </w:p>
          <w:p w:rsidR="00B6569B" w:rsidRPr="00947E0B" w:rsidRDefault="00B6569B" w:rsidP="00B6569B">
            <w:pPr>
              <w:pStyle w:val="Odstavecseseznamem"/>
              <w:numPr>
                <w:ilvl w:val="1"/>
                <w:numId w:val="11"/>
              </w:numPr>
              <w:spacing w:before="120" w:after="120" w:line="240" w:lineRule="auto"/>
              <w:ind w:left="720"/>
              <w:rPr>
                <w:rFonts w:ascii="Arial" w:hAnsi="Arial" w:cs="Arial"/>
                <w:sz w:val="20"/>
                <w:szCs w:val="20"/>
              </w:rPr>
            </w:pPr>
            <w:r w:rsidRPr="00947E0B">
              <w:rPr>
                <w:rFonts w:ascii="Arial" w:hAnsi="Arial" w:cs="Arial"/>
                <w:sz w:val="20"/>
                <w:szCs w:val="20"/>
              </w:rPr>
              <w:t>pokud by byla ohrožena výživa daňového subjektu nebo osob na jeho výživu odkázaných – pouze pro fyzické osoby dle § 156 odst. 1 písm. b) daňového řádu. Podnikatelé doloží stav pokladny, peněžní deník, aktuální rozvahu, výkaz zisku a ztráty apod.</w:t>
            </w:r>
          </w:p>
          <w:p w:rsidR="00B6569B" w:rsidRPr="00947E0B" w:rsidRDefault="00B6569B" w:rsidP="00B6569B">
            <w:pPr>
              <w:pStyle w:val="Odstavecseseznamem"/>
              <w:numPr>
                <w:ilvl w:val="1"/>
                <w:numId w:val="11"/>
              </w:numPr>
              <w:spacing w:before="120" w:after="120" w:line="240" w:lineRule="auto"/>
              <w:ind w:left="720"/>
              <w:rPr>
                <w:rFonts w:ascii="Arial" w:hAnsi="Arial" w:cs="Arial"/>
                <w:sz w:val="20"/>
                <w:szCs w:val="20"/>
              </w:rPr>
            </w:pPr>
            <w:r w:rsidRPr="00947E0B">
              <w:rPr>
                <w:rFonts w:ascii="Arial" w:hAnsi="Arial" w:cs="Arial"/>
                <w:sz w:val="20"/>
                <w:szCs w:val="20"/>
              </w:rPr>
              <w:t>pokud by neprodlená úhrada vedla k zániku podnikání daňového subjektu, přičemž výnos z ukončení podnikání by byl pravděpodobně nižší než jím vytvořená daň v příštím zdaňovacím období – pouze pro podnikatele, dle § 156 odst. 1 písm. c) daňového řádu. Bude řešeno individuálně dle komplexní ekonomické analýzy podnikání. Finančnímu úřadu podnikatelé doloží veškeré podklady, které podporují jejich tvrzení.</w:t>
            </w:r>
          </w:p>
          <w:p w:rsidR="00B6569B" w:rsidRPr="00947E0B" w:rsidRDefault="00B6569B" w:rsidP="00B6569B">
            <w:pPr>
              <w:pStyle w:val="Odstavecseseznamem"/>
              <w:numPr>
                <w:ilvl w:val="1"/>
                <w:numId w:val="11"/>
              </w:numPr>
              <w:spacing w:before="120" w:after="120" w:line="240" w:lineRule="auto"/>
              <w:ind w:left="720"/>
              <w:rPr>
                <w:rFonts w:ascii="Arial" w:hAnsi="Arial" w:cs="Arial"/>
                <w:sz w:val="20"/>
                <w:szCs w:val="20"/>
              </w:rPr>
            </w:pPr>
            <w:r w:rsidRPr="00947E0B">
              <w:rPr>
                <w:rFonts w:ascii="Arial" w:hAnsi="Arial" w:cs="Arial"/>
                <w:sz w:val="20"/>
                <w:szCs w:val="20"/>
              </w:rPr>
              <w:t>není-li možné vybrat daň od daňového subjektu najednou dle § 156 odst. 1 písm. d) daňového řádu. Nejedná se jen o nedostatek peněz na účtu, ale o případ, kdy peníze nelze opatřit ani jinak (prodejem majetku, sjednáním úvěru). Podnikatelé doloží stav pokladny, peněžní deník, aktuální rozvahu, výkaz zisku a ztráty apod.</w:t>
            </w:r>
          </w:p>
          <w:p w:rsidR="00B6569B" w:rsidRPr="00947E0B" w:rsidRDefault="00B6569B" w:rsidP="00B6569B">
            <w:pPr>
              <w:pStyle w:val="Odstavecseseznamem"/>
              <w:numPr>
                <w:ilvl w:val="1"/>
                <w:numId w:val="11"/>
              </w:numPr>
              <w:spacing w:before="120" w:after="120" w:line="240" w:lineRule="auto"/>
              <w:ind w:left="720"/>
              <w:rPr>
                <w:rFonts w:ascii="Arial" w:hAnsi="Arial" w:cs="Arial"/>
                <w:sz w:val="20"/>
                <w:szCs w:val="20"/>
              </w:rPr>
            </w:pPr>
            <w:r w:rsidRPr="00947E0B">
              <w:rPr>
                <w:rFonts w:ascii="Arial" w:hAnsi="Arial" w:cs="Arial"/>
                <w:sz w:val="20"/>
                <w:szCs w:val="20"/>
              </w:rPr>
              <w:t>při důvodném očekávání částečného nebo úplného zániku povinnosti uhradit daň § 156 odst. 1 písm. e) daňového řádu. Jde zejména o případy, kdy podnikatel žádá zároveň o prominutí daně.</w:t>
            </w:r>
          </w:p>
          <w:p w:rsidR="00B6569B" w:rsidRPr="00947E0B" w:rsidRDefault="00B6569B" w:rsidP="00B6569B">
            <w:pPr>
              <w:pStyle w:val="Odstavecseseznamem"/>
              <w:numPr>
                <w:ilvl w:val="0"/>
                <w:numId w:val="11"/>
              </w:numPr>
              <w:spacing w:before="120" w:after="120" w:line="240" w:lineRule="auto"/>
              <w:rPr>
                <w:rFonts w:ascii="Arial" w:hAnsi="Arial" w:cs="Arial"/>
                <w:sz w:val="20"/>
                <w:szCs w:val="20"/>
              </w:rPr>
            </w:pPr>
            <w:r w:rsidRPr="00947E0B">
              <w:rPr>
                <w:rFonts w:ascii="Arial" w:hAnsi="Arial" w:cs="Arial"/>
                <w:sz w:val="20"/>
                <w:szCs w:val="20"/>
              </w:rPr>
              <w:t xml:space="preserve">Žádost se podává místně příslušnému finančnímu úřadu (listinnou formou, ústně do protokolu, datovou zprávou). Pro žádost neexistuje speciální tiskopis. Žádost musí obsahovat identifikaci žadatele, informaci, čeho se žádost týká, všechny relevantní skutečnosti mající vliv na neschopnost </w:t>
            </w:r>
            <w:r w:rsidRPr="00947E0B">
              <w:rPr>
                <w:rFonts w:ascii="Arial" w:hAnsi="Arial" w:cs="Arial"/>
                <w:sz w:val="20"/>
                <w:szCs w:val="20"/>
              </w:rPr>
              <w:lastRenderedPageBreak/>
              <w:t>uhradit daň v dané výši najednou a doklady toto prokazující, návrh splátkového kalendáře a způsob a prostředky, ze kterých bude v budoucnu daň uhrazena</w:t>
            </w:r>
          </w:p>
        </w:tc>
        <w:tc>
          <w:tcPr>
            <w:tcW w:w="4536" w:type="dxa"/>
            <w:shd w:val="clear" w:color="auto" w:fill="auto"/>
          </w:tcPr>
          <w:p w:rsidR="00B6569B" w:rsidRDefault="00B6569B" w:rsidP="00B6569B">
            <w:pPr>
              <w:pStyle w:val="Odstavecseseznamem"/>
              <w:numPr>
                <w:ilvl w:val="0"/>
                <w:numId w:val="20"/>
              </w:numPr>
              <w:spacing w:before="120" w:after="120" w:line="240" w:lineRule="auto"/>
              <w:rPr>
                <w:rFonts w:ascii="Arial" w:hAnsi="Arial" w:cs="Arial"/>
                <w:sz w:val="20"/>
                <w:szCs w:val="20"/>
              </w:rPr>
            </w:pPr>
          </w:p>
        </w:tc>
      </w:tr>
    </w:tbl>
    <w:p w:rsidR="009D4A2E" w:rsidRPr="00565B06" w:rsidRDefault="009D4A2E" w:rsidP="00545D0E">
      <w:pPr>
        <w:spacing w:before="120" w:after="120" w:line="240" w:lineRule="auto"/>
        <w:rPr>
          <w:rFonts w:ascii="Arial" w:hAnsi="Arial" w:cs="Arial"/>
          <w:sz w:val="20"/>
          <w:szCs w:val="20"/>
        </w:rPr>
      </w:pPr>
      <w:bookmarkStart w:id="0" w:name="_GoBack"/>
      <w:bookmarkEnd w:id="0"/>
    </w:p>
    <w:sectPr w:rsidR="009D4A2E" w:rsidRPr="00565B06" w:rsidSect="00565B06">
      <w:headerReference w:type="even" r:id="rId15"/>
      <w:headerReference w:type="default" r:id="rId16"/>
      <w:footerReference w:type="even" r:id="rId17"/>
      <w:footerReference w:type="default" r:id="rId18"/>
      <w:headerReference w:type="first" r:id="rId19"/>
      <w:footerReference w:type="first" r:id="rId20"/>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A05" w:rsidRDefault="006C0A05" w:rsidP="00677FE0">
      <w:pPr>
        <w:spacing w:after="0" w:line="240" w:lineRule="auto"/>
      </w:pPr>
      <w:r>
        <w:separator/>
      </w:r>
    </w:p>
  </w:endnote>
  <w:endnote w:type="continuationSeparator" w:id="0">
    <w:p w:rsidR="006C0A05" w:rsidRDefault="006C0A05" w:rsidP="00677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A05" w:rsidRDefault="006C0A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A05" w:rsidRDefault="006C0A0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A05" w:rsidRDefault="006C0A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A05" w:rsidRDefault="006C0A05" w:rsidP="00677FE0">
      <w:pPr>
        <w:spacing w:after="0" w:line="240" w:lineRule="auto"/>
      </w:pPr>
      <w:r>
        <w:separator/>
      </w:r>
    </w:p>
  </w:footnote>
  <w:footnote w:type="continuationSeparator" w:id="0">
    <w:p w:rsidR="006C0A05" w:rsidRDefault="006C0A05" w:rsidP="00677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A05" w:rsidRDefault="006C0A0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A05" w:rsidRDefault="006C0A0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A05" w:rsidRDefault="006C0A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E2214"/>
    <w:multiLevelType w:val="hybridMultilevel"/>
    <w:tmpl w:val="0088BEEA"/>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2" w15:restartNumberingAfterBreak="0">
    <w:nsid w:val="0A9C3EF1"/>
    <w:multiLevelType w:val="hybridMultilevel"/>
    <w:tmpl w:val="CF3CD28C"/>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10C3855"/>
    <w:multiLevelType w:val="hybridMultilevel"/>
    <w:tmpl w:val="A30A4104"/>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30316F8"/>
    <w:multiLevelType w:val="multilevel"/>
    <w:tmpl w:val="3320A8B2"/>
    <w:numStyleLink w:val="VariantaB-odrky"/>
  </w:abstractNum>
  <w:abstractNum w:abstractNumId="5"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6" w15:restartNumberingAfterBreak="0">
    <w:nsid w:val="191872DA"/>
    <w:multiLevelType w:val="multilevel"/>
    <w:tmpl w:val="E8A48D7C"/>
    <w:numStyleLink w:val="VariantaA-sla"/>
  </w:abstractNum>
  <w:abstractNum w:abstractNumId="7" w15:restartNumberingAfterBreak="0">
    <w:nsid w:val="1BDD2BD0"/>
    <w:multiLevelType w:val="hybridMultilevel"/>
    <w:tmpl w:val="2628388E"/>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2A665B6"/>
    <w:multiLevelType w:val="hybridMultilevel"/>
    <w:tmpl w:val="C7F6A3B0"/>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289A5EA2"/>
    <w:multiLevelType w:val="multilevel"/>
    <w:tmpl w:val="E8BAE50A"/>
    <w:numStyleLink w:val="VariantaA-odrky"/>
  </w:abstractNum>
  <w:abstractNum w:abstractNumId="10" w15:restartNumberingAfterBreak="0">
    <w:nsid w:val="2B604841"/>
    <w:multiLevelType w:val="hybridMultilevel"/>
    <w:tmpl w:val="9FBC9ACA"/>
    <w:lvl w:ilvl="0" w:tplc="9E72ECA8">
      <w:numFmt w:val="bullet"/>
      <w:lvlText w:val="-"/>
      <w:lvlJc w:val="left"/>
      <w:pPr>
        <w:ind w:left="360" w:hanging="360"/>
      </w:pPr>
      <w:rPr>
        <w:rFonts w:ascii="Arial" w:eastAsiaTheme="minorHAnsi"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3237179C"/>
    <w:multiLevelType w:val="hybridMultilevel"/>
    <w:tmpl w:val="B38458AC"/>
    <w:lvl w:ilvl="0" w:tplc="9E72ECA8">
      <w:numFmt w:val="bullet"/>
      <w:lvlText w:val="-"/>
      <w:lvlJc w:val="left"/>
      <w:pPr>
        <w:ind w:left="360" w:hanging="360"/>
      </w:pPr>
      <w:rPr>
        <w:rFonts w:ascii="Arial" w:eastAsiaTheme="minorHAnsi"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6FF007C"/>
    <w:multiLevelType w:val="hybridMultilevel"/>
    <w:tmpl w:val="727A0C50"/>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D8D0849"/>
    <w:multiLevelType w:val="hybridMultilevel"/>
    <w:tmpl w:val="C0CE3D36"/>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16" w15:restartNumberingAfterBreak="0">
    <w:nsid w:val="5AF35F43"/>
    <w:multiLevelType w:val="multilevel"/>
    <w:tmpl w:val="0D8ABE32"/>
    <w:numStyleLink w:val="VariantaB-sla"/>
  </w:abstractNum>
  <w:abstractNum w:abstractNumId="17" w15:restartNumberingAfterBreak="0">
    <w:nsid w:val="5E0B0E80"/>
    <w:multiLevelType w:val="hybridMultilevel"/>
    <w:tmpl w:val="0D605EEC"/>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633772C3"/>
    <w:multiLevelType w:val="hybridMultilevel"/>
    <w:tmpl w:val="015A2F28"/>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6CA96ECE"/>
    <w:multiLevelType w:val="hybridMultilevel"/>
    <w:tmpl w:val="2E9A2AB6"/>
    <w:lvl w:ilvl="0" w:tplc="9E72ECA8">
      <w:numFmt w:val="bullet"/>
      <w:lvlText w:val="-"/>
      <w:lvlJc w:val="left"/>
      <w:pPr>
        <w:ind w:left="315" w:hanging="360"/>
      </w:pPr>
      <w:rPr>
        <w:rFonts w:ascii="Arial" w:eastAsiaTheme="minorHAnsi" w:hAnsi="Arial" w:cs="Arial" w:hint="default"/>
      </w:rPr>
    </w:lvl>
    <w:lvl w:ilvl="1" w:tplc="04050003">
      <w:start w:val="1"/>
      <w:numFmt w:val="bullet"/>
      <w:lvlText w:val="o"/>
      <w:lvlJc w:val="left"/>
      <w:pPr>
        <w:ind w:left="1035" w:hanging="360"/>
      </w:pPr>
      <w:rPr>
        <w:rFonts w:ascii="Courier New" w:hAnsi="Courier New" w:cs="Courier New" w:hint="default"/>
      </w:rPr>
    </w:lvl>
    <w:lvl w:ilvl="2" w:tplc="04050005" w:tentative="1">
      <w:start w:val="1"/>
      <w:numFmt w:val="bullet"/>
      <w:lvlText w:val=""/>
      <w:lvlJc w:val="left"/>
      <w:pPr>
        <w:ind w:left="1755" w:hanging="360"/>
      </w:pPr>
      <w:rPr>
        <w:rFonts w:ascii="Wingdings" w:hAnsi="Wingdings" w:hint="default"/>
      </w:rPr>
    </w:lvl>
    <w:lvl w:ilvl="3" w:tplc="04050001" w:tentative="1">
      <w:start w:val="1"/>
      <w:numFmt w:val="bullet"/>
      <w:lvlText w:val=""/>
      <w:lvlJc w:val="left"/>
      <w:pPr>
        <w:ind w:left="2475" w:hanging="360"/>
      </w:pPr>
      <w:rPr>
        <w:rFonts w:ascii="Symbol" w:hAnsi="Symbol" w:hint="default"/>
      </w:rPr>
    </w:lvl>
    <w:lvl w:ilvl="4" w:tplc="04050003" w:tentative="1">
      <w:start w:val="1"/>
      <w:numFmt w:val="bullet"/>
      <w:lvlText w:val="o"/>
      <w:lvlJc w:val="left"/>
      <w:pPr>
        <w:ind w:left="3195" w:hanging="360"/>
      </w:pPr>
      <w:rPr>
        <w:rFonts w:ascii="Courier New" w:hAnsi="Courier New" w:cs="Courier New" w:hint="default"/>
      </w:rPr>
    </w:lvl>
    <w:lvl w:ilvl="5" w:tplc="04050005" w:tentative="1">
      <w:start w:val="1"/>
      <w:numFmt w:val="bullet"/>
      <w:lvlText w:val=""/>
      <w:lvlJc w:val="left"/>
      <w:pPr>
        <w:ind w:left="3915" w:hanging="360"/>
      </w:pPr>
      <w:rPr>
        <w:rFonts w:ascii="Wingdings" w:hAnsi="Wingdings" w:hint="default"/>
      </w:rPr>
    </w:lvl>
    <w:lvl w:ilvl="6" w:tplc="04050001" w:tentative="1">
      <w:start w:val="1"/>
      <w:numFmt w:val="bullet"/>
      <w:lvlText w:val=""/>
      <w:lvlJc w:val="left"/>
      <w:pPr>
        <w:ind w:left="4635" w:hanging="360"/>
      </w:pPr>
      <w:rPr>
        <w:rFonts w:ascii="Symbol" w:hAnsi="Symbol" w:hint="default"/>
      </w:rPr>
    </w:lvl>
    <w:lvl w:ilvl="7" w:tplc="04050003" w:tentative="1">
      <w:start w:val="1"/>
      <w:numFmt w:val="bullet"/>
      <w:lvlText w:val="o"/>
      <w:lvlJc w:val="left"/>
      <w:pPr>
        <w:ind w:left="5355" w:hanging="360"/>
      </w:pPr>
      <w:rPr>
        <w:rFonts w:ascii="Courier New" w:hAnsi="Courier New" w:cs="Courier New" w:hint="default"/>
      </w:rPr>
    </w:lvl>
    <w:lvl w:ilvl="8" w:tplc="04050005" w:tentative="1">
      <w:start w:val="1"/>
      <w:numFmt w:val="bullet"/>
      <w:lvlText w:val=""/>
      <w:lvlJc w:val="left"/>
      <w:pPr>
        <w:ind w:left="6075" w:hanging="360"/>
      </w:pPr>
      <w:rPr>
        <w:rFonts w:ascii="Wingdings" w:hAnsi="Wingdings" w:hint="default"/>
      </w:rPr>
    </w:lvl>
  </w:abstractNum>
  <w:abstractNum w:abstractNumId="20" w15:restartNumberingAfterBreak="0">
    <w:nsid w:val="71911560"/>
    <w:multiLevelType w:val="hybridMultilevel"/>
    <w:tmpl w:val="82AA3F7A"/>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5"/>
  </w:num>
  <w:num w:numId="2">
    <w:abstractNumId w:val="15"/>
  </w:num>
  <w:num w:numId="3">
    <w:abstractNumId w:val="14"/>
  </w:num>
  <w:num w:numId="4">
    <w:abstractNumId w:val="1"/>
  </w:num>
  <w:num w:numId="5">
    <w:abstractNumId w:val="16"/>
  </w:num>
  <w:num w:numId="6">
    <w:abstractNumId w:val="9"/>
  </w:num>
  <w:num w:numId="7">
    <w:abstractNumId w:val="6"/>
  </w:num>
  <w:num w:numId="8">
    <w:abstractNumId w:val="4"/>
  </w:num>
  <w:num w:numId="9">
    <w:abstractNumId w:val="18"/>
  </w:num>
  <w:num w:numId="10">
    <w:abstractNumId w:val="13"/>
  </w:num>
  <w:num w:numId="11">
    <w:abstractNumId w:val="10"/>
  </w:num>
  <w:num w:numId="12">
    <w:abstractNumId w:val="8"/>
  </w:num>
  <w:num w:numId="13">
    <w:abstractNumId w:val="0"/>
  </w:num>
  <w:num w:numId="14">
    <w:abstractNumId w:val="7"/>
  </w:num>
  <w:num w:numId="15">
    <w:abstractNumId w:val="11"/>
  </w:num>
  <w:num w:numId="16">
    <w:abstractNumId w:val="12"/>
  </w:num>
  <w:num w:numId="17">
    <w:abstractNumId w:val="2"/>
  </w:num>
  <w:num w:numId="18">
    <w:abstractNumId w:val="20"/>
  </w:num>
  <w:num w:numId="19">
    <w:abstractNumId w:val="19"/>
  </w:num>
  <w:num w:numId="20">
    <w:abstractNumId w:val="17"/>
  </w:num>
  <w:num w:numId="21">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863"/>
    <w:rsid w:val="00015306"/>
    <w:rsid w:val="0002674B"/>
    <w:rsid w:val="0003456E"/>
    <w:rsid w:val="00037DB3"/>
    <w:rsid w:val="0004162E"/>
    <w:rsid w:val="0004786B"/>
    <w:rsid w:val="00063405"/>
    <w:rsid w:val="00074C0D"/>
    <w:rsid w:val="00076078"/>
    <w:rsid w:val="000809B9"/>
    <w:rsid w:val="00090B40"/>
    <w:rsid w:val="00095A0A"/>
    <w:rsid w:val="000B1B3D"/>
    <w:rsid w:val="000C422D"/>
    <w:rsid w:val="000C4CAF"/>
    <w:rsid w:val="000D44AF"/>
    <w:rsid w:val="000D4733"/>
    <w:rsid w:val="000D6DF9"/>
    <w:rsid w:val="00105482"/>
    <w:rsid w:val="0011745A"/>
    <w:rsid w:val="00121485"/>
    <w:rsid w:val="001268B0"/>
    <w:rsid w:val="00135A92"/>
    <w:rsid w:val="001516F3"/>
    <w:rsid w:val="00151F47"/>
    <w:rsid w:val="001536E8"/>
    <w:rsid w:val="00164D3D"/>
    <w:rsid w:val="0018051B"/>
    <w:rsid w:val="00185261"/>
    <w:rsid w:val="00186A79"/>
    <w:rsid w:val="001B1E4A"/>
    <w:rsid w:val="001D27C0"/>
    <w:rsid w:val="001E56ED"/>
    <w:rsid w:val="001E74C3"/>
    <w:rsid w:val="001F6937"/>
    <w:rsid w:val="0021099C"/>
    <w:rsid w:val="00217A99"/>
    <w:rsid w:val="00220DE3"/>
    <w:rsid w:val="002340E9"/>
    <w:rsid w:val="0025290D"/>
    <w:rsid w:val="00257DE5"/>
    <w:rsid w:val="00260372"/>
    <w:rsid w:val="00262DAF"/>
    <w:rsid w:val="00267E4D"/>
    <w:rsid w:val="00285AED"/>
    <w:rsid w:val="002B0F53"/>
    <w:rsid w:val="002E2442"/>
    <w:rsid w:val="002F0E8C"/>
    <w:rsid w:val="00302FEA"/>
    <w:rsid w:val="00310FA0"/>
    <w:rsid w:val="00320481"/>
    <w:rsid w:val="003250CB"/>
    <w:rsid w:val="00332263"/>
    <w:rsid w:val="00337618"/>
    <w:rsid w:val="0034218F"/>
    <w:rsid w:val="003422A2"/>
    <w:rsid w:val="00363201"/>
    <w:rsid w:val="0039063C"/>
    <w:rsid w:val="00394863"/>
    <w:rsid w:val="003A46A8"/>
    <w:rsid w:val="003A51AA"/>
    <w:rsid w:val="003B565A"/>
    <w:rsid w:val="003D00A1"/>
    <w:rsid w:val="003F69EC"/>
    <w:rsid w:val="00405202"/>
    <w:rsid w:val="0041427F"/>
    <w:rsid w:val="004370E2"/>
    <w:rsid w:val="00443D63"/>
    <w:rsid w:val="004509E5"/>
    <w:rsid w:val="004771BF"/>
    <w:rsid w:val="0047776F"/>
    <w:rsid w:val="00484206"/>
    <w:rsid w:val="00486FB9"/>
    <w:rsid w:val="004B6B31"/>
    <w:rsid w:val="004C212A"/>
    <w:rsid w:val="004D2992"/>
    <w:rsid w:val="004F262A"/>
    <w:rsid w:val="004F393A"/>
    <w:rsid w:val="00500232"/>
    <w:rsid w:val="00504668"/>
    <w:rsid w:val="00507415"/>
    <w:rsid w:val="005455E1"/>
    <w:rsid w:val="0054564D"/>
    <w:rsid w:val="00545D0E"/>
    <w:rsid w:val="005502BD"/>
    <w:rsid w:val="00556787"/>
    <w:rsid w:val="00565B06"/>
    <w:rsid w:val="00573AEA"/>
    <w:rsid w:val="00582276"/>
    <w:rsid w:val="005905DB"/>
    <w:rsid w:val="00597AF8"/>
    <w:rsid w:val="005B46E1"/>
    <w:rsid w:val="005C2560"/>
    <w:rsid w:val="005F7585"/>
    <w:rsid w:val="00605759"/>
    <w:rsid w:val="0061215A"/>
    <w:rsid w:val="00627E1A"/>
    <w:rsid w:val="00650C6C"/>
    <w:rsid w:val="00652FE6"/>
    <w:rsid w:val="0065567B"/>
    <w:rsid w:val="00667898"/>
    <w:rsid w:val="00677FE0"/>
    <w:rsid w:val="006914BE"/>
    <w:rsid w:val="00692768"/>
    <w:rsid w:val="006954AB"/>
    <w:rsid w:val="006B617F"/>
    <w:rsid w:val="006C0A05"/>
    <w:rsid w:val="006C3FB1"/>
    <w:rsid w:val="006C4145"/>
    <w:rsid w:val="006D04EF"/>
    <w:rsid w:val="006D67A0"/>
    <w:rsid w:val="006D6C94"/>
    <w:rsid w:val="006E2FB0"/>
    <w:rsid w:val="006E4B85"/>
    <w:rsid w:val="006F0733"/>
    <w:rsid w:val="006F727F"/>
    <w:rsid w:val="007102D2"/>
    <w:rsid w:val="00713948"/>
    <w:rsid w:val="007323A4"/>
    <w:rsid w:val="00750FDC"/>
    <w:rsid w:val="00753A27"/>
    <w:rsid w:val="0079342A"/>
    <w:rsid w:val="007A4E5F"/>
    <w:rsid w:val="007B4949"/>
    <w:rsid w:val="007F0BC6"/>
    <w:rsid w:val="00817EE5"/>
    <w:rsid w:val="00823DB0"/>
    <w:rsid w:val="00831374"/>
    <w:rsid w:val="00857580"/>
    <w:rsid w:val="0085770D"/>
    <w:rsid w:val="00857FE9"/>
    <w:rsid w:val="008607A8"/>
    <w:rsid w:val="00864942"/>
    <w:rsid w:val="00865238"/>
    <w:rsid w:val="008667BF"/>
    <w:rsid w:val="00895645"/>
    <w:rsid w:val="008A7851"/>
    <w:rsid w:val="008C3782"/>
    <w:rsid w:val="008D225F"/>
    <w:rsid w:val="008D4A32"/>
    <w:rsid w:val="008D53A1"/>
    <w:rsid w:val="008D593A"/>
    <w:rsid w:val="008E7760"/>
    <w:rsid w:val="008F49C7"/>
    <w:rsid w:val="008F520E"/>
    <w:rsid w:val="0090399C"/>
    <w:rsid w:val="009139B8"/>
    <w:rsid w:val="00922001"/>
    <w:rsid w:val="00922C17"/>
    <w:rsid w:val="00935E2A"/>
    <w:rsid w:val="00942DDD"/>
    <w:rsid w:val="009516A8"/>
    <w:rsid w:val="00967FFB"/>
    <w:rsid w:val="0097705C"/>
    <w:rsid w:val="009800C6"/>
    <w:rsid w:val="00990A88"/>
    <w:rsid w:val="00992487"/>
    <w:rsid w:val="009A2175"/>
    <w:rsid w:val="009A6D30"/>
    <w:rsid w:val="009B5493"/>
    <w:rsid w:val="009D4A2E"/>
    <w:rsid w:val="009E2488"/>
    <w:rsid w:val="009F393D"/>
    <w:rsid w:val="009F7F46"/>
    <w:rsid w:val="00A000BF"/>
    <w:rsid w:val="00A0587E"/>
    <w:rsid w:val="00A1522A"/>
    <w:rsid w:val="00A275BC"/>
    <w:rsid w:val="00A31561"/>
    <w:rsid w:val="00A342A3"/>
    <w:rsid w:val="00A4345F"/>
    <w:rsid w:val="00A464B4"/>
    <w:rsid w:val="00A47F36"/>
    <w:rsid w:val="00A63D6B"/>
    <w:rsid w:val="00A84A61"/>
    <w:rsid w:val="00A84B52"/>
    <w:rsid w:val="00A85821"/>
    <w:rsid w:val="00A8660F"/>
    <w:rsid w:val="00A903A3"/>
    <w:rsid w:val="00A95C48"/>
    <w:rsid w:val="00AA1F50"/>
    <w:rsid w:val="00AA7056"/>
    <w:rsid w:val="00AB31C6"/>
    <w:rsid w:val="00AB523B"/>
    <w:rsid w:val="00AD15CB"/>
    <w:rsid w:val="00AD6C5D"/>
    <w:rsid w:val="00AD7E40"/>
    <w:rsid w:val="00B1477A"/>
    <w:rsid w:val="00B20993"/>
    <w:rsid w:val="00B2788D"/>
    <w:rsid w:val="00B42E96"/>
    <w:rsid w:val="00B50EE6"/>
    <w:rsid w:val="00B52185"/>
    <w:rsid w:val="00B6569B"/>
    <w:rsid w:val="00B95B04"/>
    <w:rsid w:val="00B95B3A"/>
    <w:rsid w:val="00B9753A"/>
    <w:rsid w:val="00BB479C"/>
    <w:rsid w:val="00BC4720"/>
    <w:rsid w:val="00BD0208"/>
    <w:rsid w:val="00BD75A2"/>
    <w:rsid w:val="00BE0CAE"/>
    <w:rsid w:val="00C2017A"/>
    <w:rsid w:val="00C2026B"/>
    <w:rsid w:val="00C20470"/>
    <w:rsid w:val="00C20DD7"/>
    <w:rsid w:val="00C34B2F"/>
    <w:rsid w:val="00C40E05"/>
    <w:rsid w:val="00C4641B"/>
    <w:rsid w:val="00C6690E"/>
    <w:rsid w:val="00C703C5"/>
    <w:rsid w:val="00C805F2"/>
    <w:rsid w:val="00C833F3"/>
    <w:rsid w:val="00C8451C"/>
    <w:rsid w:val="00C85284"/>
    <w:rsid w:val="00C90885"/>
    <w:rsid w:val="00C96EFE"/>
    <w:rsid w:val="00CC5E40"/>
    <w:rsid w:val="00CE7EDA"/>
    <w:rsid w:val="00CF1AC3"/>
    <w:rsid w:val="00CF249B"/>
    <w:rsid w:val="00D1569F"/>
    <w:rsid w:val="00D20B1E"/>
    <w:rsid w:val="00D22462"/>
    <w:rsid w:val="00D230AC"/>
    <w:rsid w:val="00D32489"/>
    <w:rsid w:val="00D3349E"/>
    <w:rsid w:val="00D422E5"/>
    <w:rsid w:val="00D45C6C"/>
    <w:rsid w:val="00D528F5"/>
    <w:rsid w:val="00D6044C"/>
    <w:rsid w:val="00D73CB8"/>
    <w:rsid w:val="00D74BCC"/>
    <w:rsid w:val="00D91BD4"/>
    <w:rsid w:val="00D92EBD"/>
    <w:rsid w:val="00DA7591"/>
    <w:rsid w:val="00DC1C3A"/>
    <w:rsid w:val="00DD12F6"/>
    <w:rsid w:val="00DE4B30"/>
    <w:rsid w:val="00DE536D"/>
    <w:rsid w:val="00DF1497"/>
    <w:rsid w:val="00E05317"/>
    <w:rsid w:val="00E14195"/>
    <w:rsid w:val="00E3223B"/>
    <w:rsid w:val="00E32798"/>
    <w:rsid w:val="00E33CC8"/>
    <w:rsid w:val="00E36C84"/>
    <w:rsid w:val="00E506F1"/>
    <w:rsid w:val="00E51C91"/>
    <w:rsid w:val="00E51EF4"/>
    <w:rsid w:val="00E644B6"/>
    <w:rsid w:val="00E667C1"/>
    <w:rsid w:val="00E73764"/>
    <w:rsid w:val="00E819AA"/>
    <w:rsid w:val="00E85586"/>
    <w:rsid w:val="00EB49AA"/>
    <w:rsid w:val="00EB6134"/>
    <w:rsid w:val="00EC3F88"/>
    <w:rsid w:val="00ED36D8"/>
    <w:rsid w:val="00EE400C"/>
    <w:rsid w:val="00EE6BD7"/>
    <w:rsid w:val="00EF7E53"/>
    <w:rsid w:val="00F0689D"/>
    <w:rsid w:val="00F14E9C"/>
    <w:rsid w:val="00F71839"/>
    <w:rsid w:val="00FA6234"/>
    <w:rsid w:val="00FA7A53"/>
    <w:rsid w:val="00FB01B5"/>
    <w:rsid w:val="00FB7AC9"/>
    <w:rsid w:val="00FC3906"/>
    <w:rsid w:val="00FD52EE"/>
    <w:rsid w:val="00FF42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B00D7B4-4013-4C1F-83B2-A609733F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0587E"/>
    <w:pPr>
      <w:spacing w:after="160" w:line="293" w:lineRule="auto"/>
    </w:pPr>
    <w:rPr>
      <w:color w:val="000000" w:themeColor="text1"/>
    </w:rPr>
  </w:style>
  <w:style w:type="paragraph" w:styleId="Nadpis1">
    <w:name w:val="heading 1"/>
    <w:basedOn w:val="Normln"/>
    <w:next w:val="Normln"/>
    <w:link w:val="Nadpis1Char"/>
    <w:uiPriority w:val="7"/>
    <w:qFormat/>
    <w:rsid w:val="00831374"/>
    <w:pPr>
      <w:keepNext/>
      <w:keepLines/>
      <w:spacing w:before="160" w:after="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after="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after="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spacing w:before="40" w:after="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after="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after="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after="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5"/>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spacing w:after="0" w:line="240" w:lineRule="auto"/>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spacing w:after="0"/>
    </w:pPr>
  </w:style>
  <w:style w:type="paragraph" w:styleId="slovanseznam2">
    <w:name w:val="List Number 2"/>
    <w:aliases w:val="Číslovaný seznam A 2"/>
    <w:basedOn w:val="Normln"/>
    <w:uiPriority w:val="15"/>
    <w:qFormat/>
    <w:rsid w:val="001B1E4A"/>
    <w:pPr>
      <w:numPr>
        <w:ilvl w:val="1"/>
        <w:numId w:val="7"/>
      </w:numPr>
      <w:spacing w:after="0"/>
      <w:contextualSpacing/>
    </w:pPr>
  </w:style>
  <w:style w:type="paragraph" w:styleId="slovanseznam3">
    <w:name w:val="List Number 3"/>
    <w:aliases w:val="Číslovaný seznam A 3"/>
    <w:basedOn w:val="Normln"/>
    <w:uiPriority w:val="15"/>
    <w:qFormat/>
    <w:rsid w:val="001B1E4A"/>
    <w:pPr>
      <w:numPr>
        <w:ilvl w:val="2"/>
        <w:numId w:val="7"/>
      </w:numPr>
      <w:spacing w:after="0"/>
      <w:contextualSpacing/>
    </w:pPr>
  </w:style>
  <w:style w:type="paragraph" w:styleId="slovanseznam4">
    <w:name w:val="List Number 4"/>
    <w:aliases w:val="Číslovaný seznam A 4"/>
    <w:basedOn w:val="Normln"/>
    <w:uiPriority w:val="15"/>
    <w:qFormat/>
    <w:rsid w:val="001B1E4A"/>
    <w:pPr>
      <w:numPr>
        <w:ilvl w:val="3"/>
        <w:numId w:val="7"/>
      </w:numPr>
      <w:spacing w:after="0"/>
      <w:contextualSpacing/>
    </w:pPr>
  </w:style>
  <w:style w:type="paragraph" w:styleId="slovanseznam5">
    <w:name w:val="List Number 5"/>
    <w:aliases w:val="Číslovaný seznam A 5"/>
    <w:basedOn w:val="Normln"/>
    <w:uiPriority w:val="15"/>
    <w:qFormat/>
    <w:rsid w:val="001B1E4A"/>
    <w:pPr>
      <w:numPr>
        <w:ilvl w:val="4"/>
        <w:numId w:val="7"/>
      </w:numPr>
      <w:spacing w:after="0"/>
      <w:contextualSpacing/>
    </w:pPr>
  </w:style>
  <w:style w:type="paragraph" w:customStyle="1" w:styleId="slovanseznamB">
    <w:name w:val="Číslovaný seznam B"/>
    <w:basedOn w:val="Normln"/>
    <w:uiPriority w:val="16"/>
    <w:qFormat/>
    <w:rsid w:val="009F7F46"/>
    <w:pPr>
      <w:numPr>
        <w:numId w:val="5"/>
      </w:numPr>
      <w:spacing w:after="0"/>
    </w:pPr>
  </w:style>
  <w:style w:type="paragraph" w:customStyle="1" w:styleId="slovanseznamB2">
    <w:name w:val="Číslovaný seznam B 2"/>
    <w:basedOn w:val="Normln"/>
    <w:uiPriority w:val="16"/>
    <w:qFormat/>
    <w:rsid w:val="009F7F46"/>
    <w:pPr>
      <w:numPr>
        <w:ilvl w:val="1"/>
        <w:numId w:val="5"/>
      </w:numPr>
      <w:spacing w:after="0"/>
    </w:pPr>
  </w:style>
  <w:style w:type="paragraph" w:customStyle="1" w:styleId="slovanseznamB3">
    <w:name w:val="Číslovaný seznam B 3"/>
    <w:basedOn w:val="Normln"/>
    <w:uiPriority w:val="16"/>
    <w:qFormat/>
    <w:rsid w:val="009F7F46"/>
    <w:pPr>
      <w:numPr>
        <w:ilvl w:val="2"/>
        <w:numId w:val="5"/>
      </w:numPr>
      <w:spacing w:after="0"/>
    </w:pPr>
  </w:style>
  <w:style w:type="paragraph" w:customStyle="1" w:styleId="slovanseznamB4">
    <w:name w:val="Číslovaný seznam B 4"/>
    <w:basedOn w:val="Normln"/>
    <w:uiPriority w:val="16"/>
    <w:qFormat/>
    <w:rsid w:val="009F7F46"/>
    <w:pPr>
      <w:numPr>
        <w:ilvl w:val="3"/>
        <w:numId w:val="5"/>
      </w:numPr>
      <w:spacing w:after="0"/>
    </w:pPr>
  </w:style>
  <w:style w:type="paragraph" w:customStyle="1" w:styleId="slovanseznamB5">
    <w:name w:val="Číslovaný seznam B 5"/>
    <w:basedOn w:val="Normln"/>
    <w:uiPriority w:val="16"/>
    <w:qFormat/>
    <w:rsid w:val="009F7F46"/>
    <w:pPr>
      <w:numPr>
        <w:ilvl w:val="4"/>
        <w:numId w:val="5"/>
      </w:numPr>
      <w:spacing w:after="0"/>
    </w:pPr>
  </w:style>
  <w:style w:type="paragraph" w:styleId="Seznamsodrkami3">
    <w:name w:val="List Bullet 3"/>
    <w:aliases w:val="Seznam s odrážkami A 3"/>
    <w:basedOn w:val="Normln"/>
    <w:uiPriority w:val="10"/>
    <w:qFormat/>
    <w:rsid w:val="00262DAF"/>
    <w:pPr>
      <w:numPr>
        <w:ilvl w:val="2"/>
        <w:numId w:val="6"/>
      </w:numPr>
      <w:spacing w:after="0"/>
      <w:contextualSpacing/>
    </w:pPr>
  </w:style>
  <w:style w:type="paragraph" w:styleId="Seznamsodrkami4">
    <w:name w:val="List Bullet 4"/>
    <w:aliases w:val="Seznam s odrážkami A 4"/>
    <w:basedOn w:val="Normln"/>
    <w:uiPriority w:val="10"/>
    <w:qFormat/>
    <w:rsid w:val="00262DAF"/>
    <w:pPr>
      <w:numPr>
        <w:ilvl w:val="3"/>
        <w:numId w:val="6"/>
      </w:numPr>
      <w:spacing w:after="0"/>
      <w:contextualSpacing/>
    </w:pPr>
  </w:style>
  <w:style w:type="paragraph" w:styleId="Seznamsodrkami5">
    <w:name w:val="List Bullet 5"/>
    <w:aliases w:val="Seznam s odrážkami A 5"/>
    <w:basedOn w:val="Normln"/>
    <w:uiPriority w:val="10"/>
    <w:qFormat/>
    <w:rsid w:val="00262DAF"/>
    <w:pPr>
      <w:numPr>
        <w:ilvl w:val="4"/>
        <w:numId w:val="6"/>
      </w:numPr>
      <w:spacing w:after="0"/>
    </w:pPr>
  </w:style>
  <w:style w:type="paragraph" w:styleId="Seznamsodrkami">
    <w:name w:val="List Bullet"/>
    <w:aliases w:val="Seznam s odrážkami A"/>
    <w:basedOn w:val="Normln"/>
    <w:uiPriority w:val="10"/>
    <w:qFormat/>
    <w:rsid w:val="00262DAF"/>
    <w:pPr>
      <w:numPr>
        <w:numId w:val="6"/>
      </w:numPr>
      <w:spacing w:after="0"/>
      <w:contextualSpacing/>
    </w:pPr>
  </w:style>
  <w:style w:type="paragraph" w:styleId="Seznamsodrkami2">
    <w:name w:val="List Bullet 2"/>
    <w:aliases w:val="Seznam s odrážkami A 2"/>
    <w:basedOn w:val="Normln"/>
    <w:uiPriority w:val="10"/>
    <w:qFormat/>
    <w:rsid w:val="00262DAF"/>
    <w:pPr>
      <w:numPr>
        <w:ilvl w:val="1"/>
        <w:numId w:val="6"/>
      </w:numPr>
      <w:spacing w:after="0"/>
      <w:contextualSpacing/>
    </w:pPr>
  </w:style>
  <w:style w:type="paragraph" w:customStyle="1" w:styleId="Nadpis1-mimoobsah">
    <w:name w:val="Nadpis 1 - mimo obsah"/>
    <w:basedOn w:val="Normln"/>
    <w:next w:val="Normln"/>
    <w:uiPriority w:val="8"/>
    <w:qFormat/>
    <w:rsid w:val="00831374"/>
    <w:pPr>
      <w:keepNext/>
      <w:keepLines/>
      <w:spacing w:before="160" w:after="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after="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after="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after="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after="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after="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after="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after="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after="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spacing w:after="0"/>
    </w:pPr>
  </w:style>
  <w:style w:type="paragraph" w:customStyle="1" w:styleId="SeznamsodrkamiB2">
    <w:name w:val="Seznam s odrážkami B 2"/>
    <w:basedOn w:val="Normln"/>
    <w:uiPriority w:val="11"/>
    <w:qFormat/>
    <w:rsid w:val="007102D2"/>
    <w:pPr>
      <w:numPr>
        <w:ilvl w:val="1"/>
        <w:numId w:val="8"/>
      </w:numPr>
      <w:spacing w:after="0"/>
    </w:pPr>
  </w:style>
  <w:style w:type="paragraph" w:customStyle="1" w:styleId="SeznamsodrkamiB3">
    <w:name w:val="Seznam s odrážkami B 3"/>
    <w:basedOn w:val="Normln"/>
    <w:uiPriority w:val="11"/>
    <w:qFormat/>
    <w:rsid w:val="007102D2"/>
    <w:pPr>
      <w:numPr>
        <w:ilvl w:val="2"/>
        <w:numId w:val="8"/>
      </w:numPr>
      <w:spacing w:after="0"/>
    </w:pPr>
  </w:style>
  <w:style w:type="paragraph" w:customStyle="1" w:styleId="SeznamsodrkamiB4">
    <w:name w:val="Seznam s odrážkami B 4"/>
    <w:basedOn w:val="Normln"/>
    <w:uiPriority w:val="11"/>
    <w:qFormat/>
    <w:rsid w:val="007102D2"/>
    <w:pPr>
      <w:numPr>
        <w:ilvl w:val="3"/>
        <w:numId w:val="8"/>
      </w:numPr>
      <w:spacing w:after="0"/>
    </w:pPr>
  </w:style>
  <w:style w:type="paragraph" w:customStyle="1" w:styleId="SeznamsodrkamiB5">
    <w:name w:val="Seznam s odrážkami B 5"/>
    <w:basedOn w:val="Normln"/>
    <w:uiPriority w:val="11"/>
    <w:qFormat/>
    <w:rsid w:val="007102D2"/>
    <w:pPr>
      <w:numPr>
        <w:ilvl w:val="4"/>
        <w:numId w:val="8"/>
      </w:numPr>
      <w:spacing w:after="0"/>
    </w:pPr>
  </w:style>
  <w:style w:type="paragraph" w:styleId="Zhlav">
    <w:name w:val="header"/>
    <w:basedOn w:val="Normln"/>
    <w:link w:val="ZhlavChar"/>
    <w:uiPriority w:val="99"/>
    <w:unhideWhenUsed/>
    <w:rsid w:val="00677F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spacing w:after="0" w:line="240" w:lineRule="auto"/>
    </w:pPr>
  </w:style>
  <w:style w:type="character" w:customStyle="1" w:styleId="ZpatChar">
    <w:name w:val="Zápatí Char"/>
    <w:basedOn w:val="Standardnpsmoodstavce"/>
    <w:link w:val="Zpat"/>
    <w:uiPriority w:val="99"/>
    <w:rsid w:val="00677FE0"/>
    <w:rPr>
      <w:color w:val="000000" w:themeColor="text1"/>
    </w:rPr>
  </w:style>
  <w:style w:type="table" w:styleId="Mkatabulky">
    <w:name w:val="Table Grid"/>
    <w:basedOn w:val="Normlntabulka"/>
    <w:uiPriority w:val="39"/>
    <w:rsid w:val="009D4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65B0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5B06"/>
    <w:rPr>
      <w:rFonts w:ascii="Segoe UI" w:hAnsi="Segoe UI" w:cs="Segoe UI"/>
      <w:color w:val="000000" w:themeColor="text1"/>
      <w:sz w:val="18"/>
      <w:szCs w:val="18"/>
    </w:rPr>
  </w:style>
  <w:style w:type="character" w:styleId="Odkaznakoment">
    <w:name w:val="annotation reference"/>
    <w:basedOn w:val="Standardnpsmoodstavce"/>
    <w:uiPriority w:val="99"/>
    <w:semiHidden/>
    <w:unhideWhenUsed/>
    <w:rsid w:val="0065567B"/>
    <w:rPr>
      <w:sz w:val="16"/>
      <w:szCs w:val="16"/>
    </w:rPr>
  </w:style>
  <w:style w:type="paragraph" w:styleId="Textkomente">
    <w:name w:val="annotation text"/>
    <w:basedOn w:val="Normln"/>
    <w:link w:val="TextkomenteChar"/>
    <w:uiPriority w:val="99"/>
    <w:semiHidden/>
    <w:unhideWhenUsed/>
    <w:rsid w:val="0065567B"/>
    <w:pPr>
      <w:spacing w:line="240" w:lineRule="auto"/>
    </w:pPr>
    <w:rPr>
      <w:sz w:val="20"/>
      <w:szCs w:val="20"/>
    </w:rPr>
  </w:style>
  <w:style w:type="character" w:customStyle="1" w:styleId="TextkomenteChar">
    <w:name w:val="Text komentáře Char"/>
    <w:basedOn w:val="Standardnpsmoodstavce"/>
    <w:link w:val="Textkomente"/>
    <w:uiPriority w:val="99"/>
    <w:semiHidden/>
    <w:rsid w:val="0065567B"/>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65567B"/>
    <w:rPr>
      <w:b/>
      <w:bCs/>
    </w:rPr>
  </w:style>
  <w:style w:type="character" w:customStyle="1" w:styleId="PedmtkomenteChar">
    <w:name w:val="Předmět komentáře Char"/>
    <w:basedOn w:val="TextkomenteChar"/>
    <w:link w:val="Pedmtkomente"/>
    <w:uiPriority w:val="99"/>
    <w:semiHidden/>
    <w:rsid w:val="0065567B"/>
    <w:rPr>
      <w:b/>
      <w:bCs/>
      <w:color w:val="000000" w:themeColor="text1"/>
      <w:sz w:val="20"/>
      <w:szCs w:val="20"/>
    </w:rPr>
  </w:style>
  <w:style w:type="character" w:customStyle="1" w:styleId="Nevyeenzmnka1">
    <w:name w:val="Nevyřešená zmínka1"/>
    <w:basedOn w:val="Standardnpsmoodstavce"/>
    <w:uiPriority w:val="99"/>
    <w:semiHidden/>
    <w:unhideWhenUsed/>
    <w:rsid w:val="004B6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878391">
      <w:bodyDiv w:val="1"/>
      <w:marLeft w:val="0"/>
      <w:marRight w:val="0"/>
      <w:marTop w:val="0"/>
      <w:marBottom w:val="0"/>
      <w:divBdr>
        <w:top w:val="none" w:sz="0" w:space="0" w:color="auto"/>
        <w:left w:val="none" w:sz="0" w:space="0" w:color="auto"/>
        <w:bottom w:val="none" w:sz="0" w:space="0" w:color="auto"/>
        <w:right w:val="none" w:sz="0" w:space="0" w:color="auto"/>
      </w:divBdr>
      <w:divsChild>
        <w:div w:id="1705053834">
          <w:marLeft w:val="-225"/>
          <w:marRight w:val="-225"/>
          <w:marTop w:val="0"/>
          <w:marBottom w:val="0"/>
          <w:divBdr>
            <w:top w:val="none" w:sz="0" w:space="0" w:color="auto"/>
            <w:left w:val="none" w:sz="0" w:space="0" w:color="auto"/>
            <w:bottom w:val="none" w:sz="0" w:space="0" w:color="auto"/>
            <w:right w:val="none" w:sz="0" w:space="0" w:color="auto"/>
          </w:divBdr>
          <w:divsChild>
            <w:div w:id="41196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cnisprava.cz/" TargetMode="External"/><Relationship Id="rId13" Type="http://schemas.openxmlformats.org/officeDocument/2006/relationships/hyperlink" Target="https://www.mpsv.cz/web/cz/osetrovn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psv.cz/web/cz/antiviru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fcr.cz/cs/aktualne/tiskove-zpravy/2020/ulevy-v-danove-oblasti-se-rozsiri-3794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fcr.cz/cs/aktualne/tiskove-zpravy/2020/ulevy-v-danove-oblasti-se-rozsiri-37943"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mfcr.cz/cs/aktualne/tiskove-zpravy/2020/ulevy-v-danove-oblasti-se-rozsiri-37943" TargetMode="External"/><Relationship Id="rId14" Type="http://schemas.openxmlformats.org/officeDocument/2006/relationships/hyperlink" Target="https://www.mfcr.cz/cs/aktualne/tiskove-zpravy/2020/senat-dal-zelenou-pulrocnimu-odkladu-spl-38183"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33556-9E09-4FB9-B700-5D749250A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8CD30758</Template>
  <TotalTime>0</TotalTime>
  <Pages>6</Pages>
  <Words>2162</Words>
  <Characters>12762</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Vinkler Pavel</dc:creator>
  <cp:keywords/>
  <dc:description/>
  <cp:lastModifiedBy>Tomáš Mauer</cp:lastModifiedBy>
  <cp:revision>2</cp:revision>
  <dcterms:created xsi:type="dcterms:W3CDTF">2020-05-07T14:09:00Z</dcterms:created>
  <dcterms:modified xsi:type="dcterms:W3CDTF">2020-05-07T14:09:00Z</dcterms:modified>
</cp:coreProperties>
</file>