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9F" w:rsidRDefault="00B1509F" w:rsidP="00B1509F">
      <w:pPr>
        <w:pStyle w:val="Zkladntextodsazen"/>
        <w:ind w:firstLine="0"/>
        <w:jc w:val="left"/>
      </w:pPr>
    </w:p>
    <w:p w:rsidR="00B1509F" w:rsidRDefault="00B1509F" w:rsidP="00B1509F">
      <w:pPr>
        <w:pStyle w:val="Zkladntext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Poskytování cestovních a jiných náhrad </w:t>
      </w:r>
      <w:r w:rsidR="00BD3AB7">
        <w:rPr>
          <w:b/>
          <w:color w:val="0000FF"/>
          <w:u w:val="single"/>
        </w:rPr>
        <w:t>ve spolcích</w:t>
      </w:r>
    </w:p>
    <w:p w:rsidR="00B1509F" w:rsidRDefault="00B1509F" w:rsidP="00B1509F">
      <w:pPr>
        <w:pStyle w:val="Zkladntext"/>
        <w:jc w:val="center"/>
      </w:pPr>
    </w:p>
    <w:p w:rsidR="003D41BE" w:rsidRDefault="003D41BE" w:rsidP="003D41BE">
      <w:pPr>
        <w:pStyle w:val="Zkladntext"/>
      </w:pPr>
    </w:p>
    <w:p w:rsidR="0043295E" w:rsidRPr="00AA1DFB" w:rsidRDefault="003D41BE" w:rsidP="003D41BE">
      <w:pPr>
        <w:pStyle w:val="Zkladntext"/>
        <w:rPr>
          <w:b/>
        </w:rPr>
      </w:pPr>
      <w:r>
        <w:t>Povinné poskytování</w:t>
      </w:r>
      <w:r w:rsidR="0043295E">
        <w:t xml:space="preserve"> cestovních a jiných náhrad (stravné)</w:t>
      </w:r>
      <w:r>
        <w:t xml:space="preserve"> je stále </w:t>
      </w:r>
      <w:r w:rsidR="00380251">
        <w:t xml:space="preserve">upraveno </w:t>
      </w:r>
      <w:r w:rsidR="00380251" w:rsidRPr="00AA1DFB">
        <w:rPr>
          <w:b/>
        </w:rPr>
        <w:t>pouze pro zaměstnance</w:t>
      </w:r>
      <w:r w:rsidRPr="003D41BE">
        <w:t xml:space="preserve"> (zákoníkem práce a příslušnou vyhláškou Ministerstva práce a sociálních věcí).</w:t>
      </w:r>
    </w:p>
    <w:p w:rsidR="00380251" w:rsidRDefault="00380251" w:rsidP="0043295E">
      <w:pPr>
        <w:pStyle w:val="Zkladntext"/>
      </w:pPr>
    </w:p>
    <w:p w:rsidR="00380251" w:rsidRDefault="00380251" w:rsidP="003D41BE">
      <w:pPr>
        <w:pStyle w:val="Zkladntext"/>
      </w:pPr>
      <w:r>
        <w:t xml:space="preserve">Zákonná změna úpravy poskytování cestovních náhrad však nemá vliv na </w:t>
      </w:r>
      <w:r w:rsidR="00FD03E6">
        <w:t>léta d</w:t>
      </w:r>
      <w:r>
        <w:t xml:space="preserve">oporučovaný postup poskytování těchto náhrad osobám, které nejsou v pracovně právním vztahu </w:t>
      </w:r>
      <w:r w:rsidR="00764589">
        <w:t>ke spolku</w:t>
      </w:r>
      <w:r w:rsidR="003D41BE">
        <w:t xml:space="preserve"> např. </w:t>
      </w:r>
      <w:r>
        <w:t xml:space="preserve">funkcionáři, </w:t>
      </w:r>
      <w:r w:rsidR="00AA1DFB">
        <w:t xml:space="preserve">trenéři, ostatní </w:t>
      </w:r>
      <w:r>
        <w:t>členové atd</w:t>
      </w:r>
      <w:r w:rsidR="003D41BE">
        <w:t>. (dále společně jen členové).</w:t>
      </w:r>
    </w:p>
    <w:p w:rsidR="00380251" w:rsidRDefault="00380251" w:rsidP="0043295E">
      <w:pPr>
        <w:pStyle w:val="Zkladntext"/>
      </w:pPr>
    </w:p>
    <w:p w:rsidR="00AA1DFB" w:rsidRDefault="00AA1DFB" w:rsidP="003D41BE">
      <w:pPr>
        <w:pStyle w:val="Zkladntext"/>
      </w:pPr>
      <w:r>
        <w:t>Tedy</w:t>
      </w:r>
      <w:r w:rsidR="00C96287">
        <w:t xml:space="preserve"> platí, že</w:t>
      </w:r>
      <w:r>
        <w:t xml:space="preserve"> při poskytov</w:t>
      </w:r>
      <w:r w:rsidR="00B266B0">
        <w:t>á</w:t>
      </w:r>
      <w:r>
        <w:t>ní cestovních náhrad zaměst</w:t>
      </w:r>
      <w:r w:rsidR="00B266B0">
        <w:t>n</w:t>
      </w:r>
      <w:r>
        <w:t>ancům je úprava v  zákoníku práce závazná a je nutné ř</w:t>
      </w:r>
      <w:r w:rsidR="00B266B0">
        <w:t>í</w:t>
      </w:r>
      <w:r w:rsidR="005B3D33">
        <w:t>dit se jeho ustanoveními (§</w:t>
      </w:r>
      <w:r w:rsidR="001C14CA">
        <w:t xml:space="preserve">§ </w:t>
      </w:r>
      <w:proofErr w:type="gramStart"/>
      <w:r w:rsidR="001C14CA">
        <w:t>173-§181</w:t>
      </w:r>
      <w:proofErr w:type="gramEnd"/>
      <w:r w:rsidR="005B3D33">
        <w:t xml:space="preserve"> pro zaměstnavatele, který je „státním orgánem“; </w:t>
      </w:r>
      <w:proofErr w:type="gramStart"/>
      <w:r w:rsidR="001C14CA">
        <w:t>156</w:t>
      </w:r>
      <w:r w:rsidR="001C14CA">
        <w:noBreakHyphen/>
        <w:t>§172</w:t>
      </w:r>
      <w:proofErr w:type="gramEnd"/>
      <w:r w:rsidR="001C14CA">
        <w:t xml:space="preserve"> </w:t>
      </w:r>
      <w:r w:rsidR="005B3D33">
        <w:t xml:space="preserve">pro ostatní zaměstnavatele; § </w:t>
      </w:r>
      <w:proofErr w:type="gramStart"/>
      <w:r w:rsidR="005B3D33">
        <w:t>182-§189</w:t>
      </w:r>
      <w:proofErr w:type="gramEnd"/>
      <w:r w:rsidR="005B3D33">
        <w:t xml:space="preserve"> společná ustanovení).</w:t>
      </w:r>
    </w:p>
    <w:p w:rsidR="00AA1DFB" w:rsidRDefault="00AA1DFB" w:rsidP="0043295E">
      <w:pPr>
        <w:pStyle w:val="Zkladntext"/>
      </w:pPr>
    </w:p>
    <w:p w:rsidR="00B1509F" w:rsidRDefault="00AA1DFB" w:rsidP="003D41BE">
      <w:pPr>
        <w:pStyle w:val="Zkladntext"/>
      </w:pPr>
      <w:r>
        <w:t>Pokud jde o poskyto</w:t>
      </w:r>
      <w:r w:rsidR="00146E20">
        <w:t>vání jakýchkoli náhrad ať cesto</w:t>
      </w:r>
      <w:r>
        <w:t>vních nebo stra</w:t>
      </w:r>
      <w:r w:rsidR="00146E20">
        <w:t>v</w:t>
      </w:r>
      <w:r>
        <w:t>ného osobám, které n</w:t>
      </w:r>
      <w:r w:rsidR="003D41BE">
        <w:t xml:space="preserve">ejsou v pracovně právním </w:t>
      </w:r>
      <w:r w:rsidR="00764589">
        <w:t>vztahu ke spolku</w:t>
      </w:r>
      <w:r w:rsidR="003D41BE">
        <w:t xml:space="preserve"> (členové), </w:t>
      </w:r>
      <w:r w:rsidR="00146E20">
        <w:t>pak se na toto příslušná ustano</w:t>
      </w:r>
      <w:r>
        <w:t>vení zákoníku práce</w:t>
      </w:r>
      <w:r w:rsidR="00B266B0">
        <w:t xml:space="preserve"> nevztahují.</w:t>
      </w:r>
    </w:p>
    <w:p w:rsidR="00B1509F" w:rsidRDefault="00B1509F" w:rsidP="00B1509F">
      <w:pPr>
        <w:pStyle w:val="Zkladntext"/>
      </w:pPr>
    </w:p>
    <w:p w:rsidR="00B1509F" w:rsidRDefault="00764589" w:rsidP="00B1509F">
      <w:pPr>
        <w:pStyle w:val="Zkladntext"/>
      </w:pPr>
      <w:r>
        <w:t>Spolek</w:t>
      </w:r>
      <w:r w:rsidR="00B1509F">
        <w:t xml:space="preserve"> si </w:t>
      </w:r>
      <w:r w:rsidR="003D41BE">
        <w:t>však</w:t>
      </w:r>
      <w:r w:rsidR="00B1509F">
        <w:t xml:space="preserve"> vnitřně může stanovit (samozřejmě k tomu kompetentním orgánem) poskytování náhrad např. v nižším či vyšším rozsahu než upravuje </w:t>
      </w:r>
      <w:r w:rsidR="00146E20">
        <w:t>zákoník práce</w:t>
      </w:r>
      <w:r w:rsidR="000462FF">
        <w:t>.</w:t>
      </w:r>
      <w:r w:rsidR="00B1509F">
        <w:t xml:space="preserve"> Dále je možné, že </w:t>
      </w:r>
      <w:r>
        <w:t>spolek</w:t>
      </w:r>
      <w:r w:rsidR="00B1509F">
        <w:t xml:space="preserve"> si stanoví, že těmto osobám nebude náhrady poskytovat vůbec.</w:t>
      </w:r>
      <w:r w:rsidR="005A5C6E">
        <w:t xml:space="preserve"> </w:t>
      </w:r>
      <w:r w:rsidR="005A5C6E" w:rsidRPr="003D41BE">
        <w:rPr>
          <w:b/>
          <w:u w:val="single"/>
        </w:rPr>
        <w:t>POZOR</w:t>
      </w:r>
      <w:r w:rsidR="003D41BE">
        <w:t xml:space="preserve"> toto a</w:t>
      </w:r>
      <w:r w:rsidR="005A5C6E">
        <w:t xml:space="preserve"> dále uvedené se nevztahuje na osoby, které pro spolek vykonávají činnost jako OSVČ, tyto osoby si své náklady započítávají do sjednané odměny za vykonanou práci.</w:t>
      </w:r>
    </w:p>
    <w:p w:rsidR="00B1509F" w:rsidRDefault="00B1509F" w:rsidP="00B1509F">
      <w:pPr>
        <w:pStyle w:val="Zkladntext"/>
      </w:pPr>
    </w:p>
    <w:p w:rsidR="00B1509F" w:rsidRDefault="005A5C6E" w:rsidP="00B1509F">
      <w:pPr>
        <w:pStyle w:val="Zkladntext"/>
      </w:pPr>
      <w:r>
        <w:rPr>
          <w:b/>
        </w:rPr>
        <w:t>Náhrady členům</w:t>
      </w:r>
      <w:r w:rsidR="00B1509F">
        <w:rPr>
          <w:b/>
        </w:rPr>
        <w:t xml:space="preserve"> je pak třeba poskytovat nikoli na základě cestovního příkazu, ale </w:t>
      </w:r>
      <w:r w:rsidR="00B1509F">
        <w:rPr>
          <w:b/>
          <w:i/>
        </w:rPr>
        <w:t>na základě tzv. nepojmenovan</w:t>
      </w:r>
      <w:r w:rsidR="00146E20">
        <w:rPr>
          <w:b/>
          <w:i/>
        </w:rPr>
        <w:t>é smlouvy ve smyslu</w:t>
      </w:r>
      <w:r w:rsidR="00764589">
        <w:rPr>
          <w:b/>
          <w:i/>
        </w:rPr>
        <w:t xml:space="preserve"> §1746 odst. 2</w:t>
      </w:r>
      <w:r w:rsidR="00C96287">
        <w:rPr>
          <w:b/>
          <w:i/>
        </w:rPr>
        <w:t xml:space="preserve"> o</w:t>
      </w:r>
      <w:r w:rsidR="00B1509F">
        <w:rPr>
          <w:b/>
          <w:i/>
        </w:rPr>
        <w:t xml:space="preserve">bč. </w:t>
      </w:r>
      <w:proofErr w:type="gramStart"/>
      <w:r w:rsidR="00B1509F">
        <w:rPr>
          <w:b/>
          <w:i/>
        </w:rPr>
        <w:t>zák.</w:t>
      </w:r>
      <w:proofErr w:type="gramEnd"/>
      <w:r w:rsidR="00B1509F">
        <w:rPr>
          <w:b/>
          <w:i/>
        </w:rPr>
        <w:t>,</w:t>
      </w:r>
      <w:r w:rsidR="00B1509F">
        <w:rPr>
          <w:b/>
        </w:rPr>
        <w:t xml:space="preserve"> kterou </w:t>
      </w:r>
      <w:r w:rsidR="00764589">
        <w:rPr>
          <w:b/>
        </w:rPr>
        <w:t xml:space="preserve">spolek </w:t>
      </w:r>
      <w:r w:rsidR="00B1509F">
        <w:rPr>
          <w:b/>
        </w:rPr>
        <w:t xml:space="preserve">(pořadatel akce) </w:t>
      </w:r>
      <w:r>
        <w:rPr>
          <w:b/>
        </w:rPr>
        <w:t>s členem uzavírá</w:t>
      </w:r>
      <w:r w:rsidR="00B1509F">
        <w:t>.</w:t>
      </w:r>
      <w:r w:rsidR="00146E20">
        <w:t xml:space="preserve"> </w:t>
      </w:r>
      <w:r w:rsidR="00B1509F">
        <w:t xml:space="preserve">V této smlouvě je třeba stanovit, že </w:t>
      </w:r>
      <w:r>
        <w:t>člen</w:t>
      </w:r>
      <w:r w:rsidR="00B1509F">
        <w:t xml:space="preserve"> vykoná pro </w:t>
      </w:r>
      <w:r w:rsidR="00764589">
        <w:t>spolek</w:t>
      </w:r>
      <w:r w:rsidR="00B1509F">
        <w:t xml:space="preserve"> určitou činnost související se zabezpečením konkrétní akce a budou mu uhrazeny</w:t>
      </w:r>
      <w:r>
        <w:t xml:space="preserve"> vymezené</w:t>
      </w:r>
      <w:r w:rsidR="00B1509F">
        <w:t xml:space="preserve"> </w:t>
      </w:r>
      <w:r>
        <w:t>náhrady</w:t>
      </w:r>
      <w:r w:rsidR="00C96287">
        <w:t>. Tuto smlouvu lze uzavřít i v </w:t>
      </w:r>
      <w:r w:rsidR="00B1509F">
        <w:t>obecné rovině (zejména s osobami, které</w:t>
      </w:r>
      <w:r w:rsidR="00764589">
        <w:t xml:space="preserve"> spolek</w:t>
      </w:r>
      <w:r w:rsidR="00B1509F">
        <w:t xml:space="preserve"> využívá ke</w:t>
      </w:r>
      <w:r>
        <w:t> </w:t>
      </w:r>
      <w:r w:rsidR="000462FF">
        <w:t>své činnosti častěji), tedy ve </w:t>
      </w:r>
      <w:r w:rsidR="00B1509F">
        <w:t xml:space="preserve">smlouvě bude obecně uvedeno, že jsou </w:t>
      </w:r>
      <w:proofErr w:type="gramStart"/>
      <w:r>
        <w:t>členovi</w:t>
      </w:r>
      <w:r w:rsidR="00B1509F">
        <w:t xml:space="preserve"> </w:t>
      </w:r>
      <w:r>
        <w:t xml:space="preserve"> hrazeny</w:t>
      </w:r>
      <w:proofErr w:type="gramEnd"/>
      <w:r>
        <w:t xml:space="preserve"> výdaje v </w:t>
      </w:r>
      <w:r w:rsidR="000462FF">
        <w:t>souvislosti s </w:t>
      </w:r>
      <w:r w:rsidR="00B1509F">
        <w:t>jeho činností pro s</w:t>
      </w:r>
      <w:r w:rsidR="00764589">
        <w:t>polek</w:t>
      </w:r>
      <w:r w:rsidR="00B1509F">
        <w:t xml:space="preserve"> a konkrétní platba bude uhrazena na základě vyúčtování výdajů spojených s konkrétní akcí.</w:t>
      </w:r>
    </w:p>
    <w:p w:rsidR="00B1509F" w:rsidRDefault="00B1509F" w:rsidP="00B1509F">
      <w:pPr>
        <w:pStyle w:val="Zkladntext"/>
      </w:pPr>
    </w:p>
    <w:p w:rsidR="00B1509F" w:rsidRDefault="00B1509F" w:rsidP="003D41BE">
      <w:pPr>
        <w:pStyle w:val="Zkladntext"/>
      </w:pPr>
      <w:r>
        <w:t xml:space="preserve">Nebo postačí </w:t>
      </w:r>
      <w:r w:rsidRPr="00146E20">
        <w:rPr>
          <w:b/>
        </w:rPr>
        <w:t>úprava vnitřním předpisem s</w:t>
      </w:r>
      <w:r w:rsidR="00764589">
        <w:rPr>
          <w:b/>
        </w:rPr>
        <w:t>polku</w:t>
      </w:r>
      <w:r w:rsidR="005A5C6E">
        <w:rPr>
          <w:b/>
        </w:rPr>
        <w:t xml:space="preserve"> (např. směrnice)</w:t>
      </w:r>
      <w:r>
        <w:t>, komu a za jakých podmínek a v jaké výši se určité náhrady vyplácejí</w:t>
      </w:r>
      <w:r w:rsidR="005A5C6E">
        <w:t>.</w:t>
      </w:r>
    </w:p>
    <w:p w:rsidR="00B1509F" w:rsidRDefault="00B1509F" w:rsidP="00B1509F">
      <w:pPr>
        <w:pStyle w:val="Zkladntext"/>
      </w:pPr>
    </w:p>
    <w:p w:rsidR="007B3155" w:rsidRDefault="000C20BC" w:rsidP="005B3D33">
      <w:pPr>
        <w:pStyle w:val="Zkladntext"/>
      </w:pPr>
      <w:r>
        <w:t xml:space="preserve">Z hlediska případného zdanění těchto náhrad u jejich příjemců spolky vždy vycházely ze </w:t>
      </w:r>
      <w:r w:rsidR="00F9783E">
        <w:t>stanoviska Ministerstva financí</w:t>
      </w:r>
      <w:r w:rsidR="00146E20">
        <w:t xml:space="preserve"> ČR</w:t>
      </w:r>
      <w:r w:rsidR="00F9783E">
        <w:t xml:space="preserve"> (čj. 154/72 718/1996 ze dne </w:t>
      </w:r>
      <w:proofErr w:type="gramStart"/>
      <w:r w:rsidR="00F9783E">
        <w:t>26.3.199</w:t>
      </w:r>
      <w:r w:rsidR="00A213C1">
        <w:t>7</w:t>
      </w:r>
      <w:proofErr w:type="gramEnd"/>
      <w:r w:rsidR="00A213C1">
        <w:t xml:space="preserve"> a čj. 15/99 366/2006-153 ze dne 5.1.2007</w:t>
      </w:r>
      <w:r w:rsidR="00F9783E">
        <w:t>)</w:t>
      </w:r>
      <w:r>
        <w:t>, podle kterého</w:t>
      </w:r>
      <w:r w:rsidR="00146E20">
        <w:t xml:space="preserve"> se jedná o náhrady poskytované v souvislosti s výkonem závislé činnosti </w:t>
      </w:r>
      <w:r w:rsidR="00AD0D4D">
        <w:t>(a </w:t>
      </w:r>
      <w:r>
        <w:t xml:space="preserve">to i v tehdy, není-li za tuto činnost poskytována odměna) </w:t>
      </w:r>
      <w:r w:rsidR="00146E20">
        <w:t>a jako ta</w:t>
      </w:r>
      <w:r w:rsidR="000462FF">
        <w:t>kové nejsou podle</w:t>
      </w:r>
      <w:r>
        <w:t xml:space="preserve"> příslušných</w:t>
      </w:r>
      <w:r w:rsidR="000462FF">
        <w:t xml:space="preserve"> ustanovení </w:t>
      </w:r>
      <w:r w:rsidR="00146E20">
        <w:t xml:space="preserve"> zák.č.586/1992Sb.</w:t>
      </w:r>
      <w:r w:rsidR="005B3D33">
        <w:t xml:space="preserve"> </w:t>
      </w:r>
      <w:r>
        <w:t xml:space="preserve">o daních z příjmů, </w:t>
      </w:r>
      <w:r w:rsidR="005B3D33">
        <w:t>v platném znění předmětem daně, a to co do druhu a do výše, kterou zákoník práce přiznává zaměstnancům „státních orgánů“.</w:t>
      </w:r>
      <w:r w:rsidR="00146E20">
        <w:t xml:space="preserve"> </w:t>
      </w:r>
      <w:r>
        <w:t xml:space="preserve"> Zde je třeba upozornit na to, že v tomto směru došlo k drobné formulační úpravě závislé činnosti, která může zapříčinit i takový výklad, že by takto mohlo být postupováno jen v tehdy, pokud by </w:t>
      </w:r>
      <w:r w:rsidR="00360A87">
        <w:t>členové</w:t>
      </w:r>
      <w:r>
        <w:t xml:space="preserve"> byly</w:t>
      </w:r>
      <w:r w:rsidR="00360A87">
        <w:t xml:space="preserve"> za práci pro spolek odměňováni (byť symbolicky).</w:t>
      </w:r>
      <w:r w:rsidR="007B3155">
        <w:t xml:space="preserve"> LPO </w:t>
      </w:r>
      <w:r w:rsidR="00145CA1">
        <w:t xml:space="preserve"> ČUS </w:t>
      </w:r>
      <w:r w:rsidR="007B3155">
        <w:t xml:space="preserve">však má za to, že by tato formulační úprava na platnost stanoviska MF ČR vliv mít neměla, neboť </w:t>
      </w:r>
      <w:r w:rsidR="00360A87">
        <w:t xml:space="preserve">toto </w:t>
      </w:r>
      <w:r w:rsidR="007B3155">
        <w:t>vycházelo mimo jiné i ze smyslu a povahy náhrad poskytovaných členům spolku, kteří činnost vykonávají dobrovolně a vznikají jim v souvislosti s tím určité náklady. Rovněž není důvodné zaujímat takový výklad, který by paradoxně znevýhodňoval někoho, kdo vykonává práci pro spolek dobrovolně, oproti někomu, kdo je za ní odměňován</w:t>
      </w:r>
      <w:r w:rsidR="00360A87">
        <w:t>.</w:t>
      </w:r>
    </w:p>
    <w:p w:rsidR="007B3155" w:rsidRDefault="007B3155" w:rsidP="005B3D33">
      <w:pPr>
        <w:pStyle w:val="Zkladntext"/>
      </w:pPr>
    </w:p>
    <w:p w:rsidR="009C2429" w:rsidRDefault="009D60A0" w:rsidP="005B3D33">
      <w:pPr>
        <w:pStyle w:val="Zkladntext"/>
      </w:pPr>
      <w:r>
        <w:t>Z hlediska výše uvedené možné nejednotnosti názorů lze doporučit, aby „cestovní náhrady“</w:t>
      </w:r>
      <w:r w:rsidR="00FE7E91">
        <w:t xml:space="preserve"> </w:t>
      </w:r>
      <w:r>
        <w:t xml:space="preserve">pro členy spolku byly upraveny jako „příspěvek na úhradu nákladů, které má člen v souvislosti s výkonem </w:t>
      </w:r>
      <w:r>
        <w:lastRenderedPageBreak/>
        <w:t>činnosti pro spolek“. Taková formulace by měla umožňovat v pod</w:t>
      </w:r>
      <w:r w:rsidR="00AD0D4D">
        <w:t>statě jen trojí výklad, za co takový příspěvek</w:t>
      </w:r>
      <w:r>
        <w:t xml:space="preserve"> považovat s tím, že dle názoru LPO</w:t>
      </w:r>
      <w:r w:rsidR="00145CA1">
        <w:t xml:space="preserve"> ČUS </w:t>
      </w:r>
      <w:r>
        <w:t xml:space="preserve">by ani jeden výklad neměl znamenat, že budou </w:t>
      </w:r>
      <w:r w:rsidR="00AD0D4D">
        <w:t>tento příspěvek</w:t>
      </w:r>
      <w:r>
        <w:t xml:space="preserve"> muset </w:t>
      </w:r>
      <w:r w:rsidR="00AD0D4D">
        <w:t xml:space="preserve">jeho </w:t>
      </w:r>
      <w:r>
        <w:t xml:space="preserve">příjemci danit. </w:t>
      </w:r>
      <w:r w:rsidR="00FE7E91">
        <w:t>Jedná se o následující:</w:t>
      </w:r>
    </w:p>
    <w:p w:rsidR="00FE7E91" w:rsidRDefault="00FE7E91" w:rsidP="005B3D33">
      <w:pPr>
        <w:pStyle w:val="Zkladntext"/>
      </w:pPr>
    </w:p>
    <w:p w:rsidR="00FE7E91" w:rsidRDefault="00AD0D4D" w:rsidP="00FE7E91">
      <w:pPr>
        <w:pStyle w:val="Zkladntext"/>
        <w:numPr>
          <w:ilvl w:val="0"/>
          <w:numId w:val="1"/>
        </w:numPr>
      </w:pPr>
      <w:r>
        <w:t>příspěvek nebude</w:t>
      </w:r>
      <w:r w:rsidR="00FE7E91">
        <w:t xml:space="preserve"> vůbec za příjem</w:t>
      </w:r>
      <w:r>
        <w:t xml:space="preserve"> považován</w:t>
      </w:r>
      <w:r w:rsidR="00FE7E91">
        <w:t xml:space="preserve">, což je dle názoru </w:t>
      </w:r>
      <w:r>
        <w:t xml:space="preserve">LPO </w:t>
      </w:r>
      <w:r w:rsidR="00145CA1">
        <w:t xml:space="preserve">ČUS </w:t>
      </w:r>
      <w:bookmarkStart w:id="0" w:name="_GoBack"/>
      <w:bookmarkEnd w:id="0"/>
      <w:r>
        <w:t>správný výklad, neboť jeho</w:t>
      </w:r>
      <w:r w:rsidR="00FE7E91">
        <w:t xml:space="preserve"> vyplacením nedochází „ke zvýšení majetku“ příjemce, jde jen o kompenzaci, a to buď plnou, nebo částečnou toho, co člen vynaložil </w:t>
      </w:r>
      <w:r>
        <w:t xml:space="preserve">v souvislosti s činností pro spolek </w:t>
      </w:r>
      <w:r w:rsidR="00FE7E91">
        <w:t>ze svého;</w:t>
      </w:r>
    </w:p>
    <w:p w:rsidR="00FE7E91" w:rsidRDefault="00AD0D4D" w:rsidP="00FE7E91">
      <w:pPr>
        <w:pStyle w:val="Zkladntext"/>
        <w:numPr>
          <w:ilvl w:val="0"/>
          <w:numId w:val="1"/>
        </w:numPr>
      </w:pPr>
      <w:r>
        <w:t>příspěvek bude jako doposud považován</w:t>
      </w:r>
      <w:r w:rsidR="00FE7E91">
        <w:t xml:space="preserve"> za cestovní náhrady v souvislosti se závislou činností, které nejsou předmětem daně;</w:t>
      </w:r>
    </w:p>
    <w:p w:rsidR="00FE7E91" w:rsidRDefault="00AD0D4D" w:rsidP="00FE7E91">
      <w:pPr>
        <w:pStyle w:val="Zkladntext"/>
        <w:numPr>
          <w:ilvl w:val="0"/>
          <w:numId w:val="1"/>
        </w:numPr>
      </w:pPr>
      <w:r>
        <w:t>bude považován</w:t>
      </w:r>
      <w:r w:rsidR="00FE7E91">
        <w:t xml:space="preserve"> za ostatní příjem z tzv. příležitostné činnosti, který sic</w:t>
      </w:r>
      <w:r>
        <w:t>e předmětem daně je, ale do výše</w:t>
      </w:r>
      <w:r w:rsidR="00FE7E91">
        <w:t xml:space="preserve"> 30 tis./rok je od daně osvobozen (zde </w:t>
      </w:r>
      <w:r>
        <w:t xml:space="preserve">však </w:t>
      </w:r>
      <w:r w:rsidR="00FE7E91">
        <w:t>pozor</w:t>
      </w:r>
      <w:r>
        <w:t xml:space="preserve"> na to, že</w:t>
      </w:r>
      <w:r w:rsidR="00FE7E91">
        <w:t xml:space="preserve"> všechny takové příjmy</w:t>
      </w:r>
      <w:r>
        <w:t xml:space="preserve"> z příležitostné činnosti</w:t>
      </w:r>
      <w:r w:rsidR="00FE7E91">
        <w:t xml:space="preserve"> se sčítají).</w:t>
      </w:r>
    </w:p>
    <w:p w:rsidR="00F9783E" w:rsidRDefault="00F9783E"/>
    <w:p w:rsidR="003F4851" w:rsidRDefault="003F4851">
      <w:r>
        <w:t>Závěrem je třeba upozornit, že se</w:t>
      </w:r>
      <w:r w:rsidR="00AD0D4D">
        <w:t xml:space="preserve"> jedná o čistě výkladový názor a nelze vyloučit, že praxe zaujme ještě další výklad. </w:t>
      </w:r>
    </w:p>
    <w:p w:rsidR="00145CA1" w:rsidRDefault="00145CA1"/>
    <w:p w:rsidR="00145CA1" w:rsidRDefault="00145CA1"/>
    <w:p w:rsidR="00145CA1" w:rsidRDefault="00145CA1"/>
    <w:p w:rsidR="00145CA1" w:rsidRDefault="00145CA1"/>
    <w:p w:rsidR="00145CA1" w:rsidRDefault="00145CA1"/>
    <w:p w:rsidR="00145CA1" w:rsidRDefault="00145CA1"/>
    <w:p w:rsidR="00145CA1" w:rsidRDefault="00145CA1"/>
    <w:p w:rsidR="00145CA1" w:rsidRDefault="00145CA1"/>
    <w:p w:rsidR="00145CA1" w:rsidRDefault="00145CA1"/>
    <w:p w:rsidR="00145CA1" w:rsidRDefault="00145CA1"/>
    <w:sectPr w:rsidR="00145CA1" w:rsidSect="00B1509F">
      <w:headerReference w:type="default" r:id="rId7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2F" w:rsidRDefault="00C2062F">
      <w:r>
        <w:separator/>
      </w:r>
    </w:p>
  </w:endnote>
  <w:endnote w:type="continuationSeparator" w:id="0">
    <w:p w:rsidR="00C2062F" w:rsidRDefault="00C2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2F" w:rsidRDefault="00C2062F">
      <w:r>
        <w:separator/>
      </w:r>
    </w:p>
  </w:footnote>
  <w:footnote w:type="continuationSeparator" w:id="0">
    <w:p w:rsidR="00C2062F" w:rsidRDefault="00C2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B7" w:rsidRPr="00FD03E6" w:rsidRDefault="00BD3AB7" w:rsidP="00FD03E6">
    <w:pPr>
      <w:pStyle w:val="Zhlav"/>
      <w:jc w:val="right"/>
      <w:rPr>
        <w:i/>
        <w:sz w:val="20"/>
        <w:szCs w:val="20"/>
      </w:rPr>
    </w:pPr>
    <w:r>
      <w:rPr>
        <w:i/>
        <w:sz w:val="20"/>
        <w:szCs w:val="20"/>
      </w:rPr>
      <w:t>Stanovisko dle sta</w:t>
    </w:r>
    <w:r w:rsidRPr="00FD03E6">
      <w:rPr>
        <w:i/>
        <w:sz w:val="20"/>
        <w:szCs w:val="20"/>
      </w:rPr>
      <w:t>vu právní úpravy k</w:t>
    </w:r>
    <w:r w:rsidR="008C2D35">
      <w:rPr>
        <w:i/>
        <w:sz w:val="20"/>
        <w:szCs w:val="20"/>
      </w:rPr>
      <w:t> březnu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38D9"/>
    <w:multiLevelType w:val="hybridMultilevel"/>
    <w:tmpl w:val="6C3212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1B"/>
    <w:rsid w:val="0000389E"/>
    <w:rsid w:val="000462FF"/>
    <w:rsid w:val="000C20BC"/>
    <w:rsid w:val="00145CA1"/>
    <w:rsid w:val="00146E20"/>
    <w:rsid w:val="001C14CA"/>
    <w:rsid w:val="00246D75"/>
    <w:rsid w:val="00360A87"/>
    <w:rsid w:val="00380251"/>
    <w:rsid w:val="003D41BE"/>
    <w:rsid w:val="003F4851"/>
    <w:rsid w:val="0043295E"/>
    <w:rsid w:val="00593B9B"/>
    <w:rsid w:val="005A5C6E"/>
    <w:rsid w:val="005B3D33"/>
    <w:rsid w:val="00764589"/>
    <w:rsid w:val="007B3155"/>
    <w:rsid w:val="00831337"/>
    <w:rsid w:val="008A431D"/>
    <w:rsid w:val="008C0EF5"/>
    <w:rsid w:val="008C2D35"/>
    <w:rsid w:val="008D16F4"/>
    <w:rsid w:val="009C2429"/>
    <w:rsid w:val="009D60A0"/>
    <w:rsid w:val="00A213C1"/>
    <w:rsid w:val="00A615CD"/>
    <w:rsid w:val="00AA1DFB"/>
    <w:rsid w:val="00AD0D4D"/>
    <w:rsid w:val="00B1509F"/>
    <w:rsid w:val="00B266B0"/>
    <w:rsid w:val="00B9641B"/>
    <w:rsid w:val="00BC575C"/>
    <w:rsid w:val="00BD3AB7"/>
    <w:rsid w:val="00C2062F"/>
    <w:rsid w:val="00C96287"/>
    <w:rsid w:val="00F9783E"/>
    <w:rsid w:val="00FD03E6"/>
    <w:rsid w:val="00FE05EA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B003-4333-47E1-87DF-86D4073D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1509F"/>
    <w:pPr>
      <w:tabs>
        <w:tab w:val="left" w:pos="993"/>
        <w:tab w:val="left" w:pos="10065"/>
      </w:tabs>
      <w:jc w:val="both"/>
    </w:pPr>
    <w:rPr>
      <w:szCs w:val="20"/>
    </w:rPr>
  </w:style>
  <w:style w:type="paragraph" w:styleId="Zkladntextodsazen">
    <w:name w:val="Body Text Indent"/>
    <w:basedOn w:val="Normln"/>
    <w:rsid w:val="00B1509F"/>
    <w:pPr>
      <w:ind w:firstLine="708"/>
      <w:jc w:val="both"/>
    </w:pPr>
    <w:rPr>
      <w:szCs w:val="20"/>
    </w:rPr>
  </w:style>
  <w:style w:type="paragraph" w:styleId="Zhlav">
    <w:name w:val="header"/>
    <w:basedOn w:val="Normln"/>
    <w:rsid w:val="00FD03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03E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Poskytování cestovních a jiných náhrad podle zák</vt:lpstr>
    </vt:vector>
  </TitlesOfParts>
  <Company>ČSTV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Poskytování cestovních a jiných náhrad podle zák</dc:title>
  <dc:subject/>
  <dc:creator>Mgr. Gabriela Petrusová</dc:creator>
  <cp:keywords/>
  <dc:description/>
  <cp:lastModifiedBy>Gabriela Petrusová</cp:lastModifiedBy>
  <cp:revision>4</cp:revision>
  <cp:lastPrinted>2014-07-18T07:58:00Z</cp:lastPrinted>
  <dcterms:created xsi:type="dcterms:W3CDTF">2017-03-20T10:38:00Z</dcterms:created>
  <dcterms:modified xsi:type="dcterms:W3CDTF">2017-03-20T11:08:00Z</dcterms:modified>
</cp:coreProperties>
</file>